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5BF5" w14:textId="77777777" w:rsidR="006816F5" w:rsidRPr="00CD5AD1" w:rsidRDefault="006816F5" w:rsidP="0067717E">
      <w:pPr>
        <w:tabs>
          <w:tab w:val="left" w:pos="-1440"/>
          <w:tab w:val="left" w:pos="7020"/>
        </w:tabs>
        <w:jc w:val="both"/>
        <w:rPr>
          <w:rFonts w:asciiTheme="minorHAnsi" w:hAnsiTheme="minorHAnsi" w:cstheme="minorHAnsi"/>
          <w:b/>
          <w:szCs w:val="24"/>
        </w:rPr>
      </w:pPr>
    </w:p>
    <w:p w14:paraId="5CF31018" w14:textId="77777777" w:rsidR="00E127E7" w:rsidRPr="00CD5AD1" w:rsidRDefault="00E127E7" w:rsidP="0067717E">
      <w:pPr>
        <w:tabs>
          <w:tab w:val="left" w:pos="-1440"/>
          <w:tab w:val="left" w:pos="7020"/>
        </w:tabs>
        <w:jc w:val="both"/>
        <w:rPr>
          <w:rFonts w:asciiTheme="minorHAnsi" w:hAnsiTheme="minorHAnsi" w:cstheme="minorHAnsi"/>
          <w:b/>
          <w:szCs w:val="24"/>
        </w:rPr>
      </w:pPr>
    </w:p>
    <w:p w14:paraId="406705D6" w14:textId="77777777" w:rsidR="00E127E7" w:rsidRPr="00CD5AD1" w:rsidRDefault="00E127E7" w:rsidP="0067717E">
      <w:pPr>
        <w:tabs>
          <w:tab w:val="left" w:pos="-1440"/>
          <w:tab w:val="left" w:pos="7020"/>
        </w:tabs>
        <w:jc w:val="both"/>
        <w:rPr>
          <w:rFonts w:asciiTheme="minorHAnsi" w:hAnsiTheme="minorHAnsi" w:cstheme="minorHAnsi"/>
          <w:b/>
          <w:szCs w:val="24"/>
        </w:rPr>
      </w:pPr>
    </w:p>
    <w:p w14:paraId="550FE45B" w14:textId="7567E689" w:rsidR="00E127E7" w:rsidRPr="00CD5AD1" w:rsidRDefault="00D66F7E" w:rsidP="00D66F7E">
      <w:pPr>
        <w:pStyle w:val="Title"/>
        <w:rPr>
          <w:rFonts w:asciiTheme="minorHAnsi" w:hAnsiTheme="minorHAnsi" w:cstheme="minorHAnsi"/>
        </w:rPr>
      </w:pPr>
      <w:r w:rsidRPr="00CD5AD1">
        <w:rPr>
          <w:rFonts w:asciiTheme="minorHAnsi" w:hAnsiTheme="minorHAnsi" w:cstheme="minorHAnsi"/>
        </w:rPr>
        <w:t>Summary of Approach</w:t>
      </w:r>
    </w:p>
    <w:p w14:paraId="37B3656D" w14:textId="77777777" w:rsidR="00626323" w:rsidRDefault="00626323" w:rsidP="00397211">
      <w:pPr>
        <w:rPr>
          <w:rFonts w:asciiTheme="minorHAnsi" w:hAnsiTheme="minorHAnsi" w:cstheme="minorBidi"/>
        </w:rPr>
      </w:pPr>
    </w:p>
    <w:p w14:paraId="1DBB01AD" w14:textId="384163C9" w:rsidR="00083E1D" w:rsidRPr="00083E1D" w:rsidRDefault="00083E1D" w:rsidP="00083E1D">
      <w:pPr>
        <w:rPr>
          <w:rFonts w:asciiTheme="minorHAnsi" w:hAnsiTheme="minorHAnsi" w:cstheme="minorBidi"/>
        </w:rPr>
      </w:pPr>
      <w:r w:rsidRPr="00083E1D">
        <w:rPr>
          <w:rFonts w:asciiTheme="minorHAnsi" w:hAnsiTheme="minorHAnsi" w:cstheme="minorBidi"/>
        </w:rPr>
        <w:t xml:space="preserve">This document explains how </w:t>
      </w:r>
      <w:r w:rsidR="00A41D01">
        <w:rPr>
          <w:rFonts w:asciiTheme="minorHAnsi" w:hAnsiTheme="minorHAnsi" w:cstheme="minorBidi"/>
        </w:rPr>
        <w:t>Stockport Homes</w:t>
      </w:r>
      <w:r w:rsidRPr="00083E1D">
        <w:rPr>
          <w:rFonts w:asciiTheme="minorHAnsi" w:hAnsiTheme="minorHAnsi" w:cstheme="minorBidi"/>
        </w:rPr>
        <w:t xml:space="preserve"> carried out </w:t>
      </w:r>
      <w:r w:rsidR="0082744D">
        <w:rPr>
          <w:rFonts w:asciiTheme="minorHAnsi" w:hAnsiTheme="minorHAnsi" w:cstheme="minorBidi"/>
        </w:rPr>
        <w:t>the t</w:t>
      </w:r>
      <w:r w:rsidRPr="00083E1D">
        <w:rPr>
          <w:rFonts w:asciiTheme="minorHAnsi" w:hAnsiTheme="minorHAnsi" w:cstheme="minorBidi"/>
        </w:rPr>
        <w:t xml:space="preserve">enant </w:t>
      </w:r>
      <w:r w:rsidR="0082744D">
        <w:rPr>
          <w:rFonts w:asciiTheme="minorHAnsi" w:hAnsiTheme="minorHAnsi" w:cstheme="minorBidi"/>
        </w:rPr>
        <w:t xml:space="preserve">perception </w:t>
      </w:r>
      <w:r w:rsidRPr="00083E1D">
        <w:rPr>
          <w:rFonts w:asciiTheme="minorHAnsi" w:hAnsiTheme="minorHAnsi" w:cstheme="minorBidi"/>
        </w:rPr>
        <w:t xml:space="preserve">survey </w:t>
      </w:r>
      <w:r w:rsidR="0099083E">
        <w:rPr>
          <w:rFonts w:asciiTheme="minorHAnsi" w:hAnsiTheme="minorHAnsi" w:cstheme="minorBidi"/>
        </w:rPr>
        <w:t>for the</w:t>
      </w:r>
      <w:r w:rsidRPr="00083E1D">
        <w:rPr>
          <w:rFonts w:asciiTheme="minorHAnsi" w:hAnsiTheme="minorHAnsi" w:cstheme="minorBidi"/>
        </w:rPr>
        <w:t xml:space="preserve"> Tenant Satisfaction Measures (TSM) for the 2025/26 financial year.</w:t>
      </w:r>
    </w:p>
    <w:p w14:paraId="2A3C08DD" w14:textId="77777777" w:rsidR="00083E1D" w:rsidRPr="00083E1D" w:rsidRDefault="00083E1D" w:rsidP="00083E1D">
      <w:pPr>
        <w:rPr>
          <w:rFonts w:asciiTheme="minorHAnsi" w:hAnsiTheme="minorHAnsi" w:cstheme="minorBidi"/>
        </w:rPr>
      </w:pPr>
    </w:p>
    <w:p w14:paraId="12D5E514" w14:textId="77777777" w:rsidR="00EC3734" w:rsidRDefault="00083E1D" w:rsidP="00083E1D">
      <w:pPr>
        <w:rPr>
          <w:rFonts w:asciiTheme="minorHAnsi" w:hAnsiTheme="minorHAnsi" w:cstheme="minorBidi"/>
        </w:rPr>
      </w:pPr>
      <w:r w:rsidRPr="00083E1D">
        <w:rPr>
          <w:rFonts w:asciiTheme="minorHAnsi" w:hAnsiTheme="minorHAnsi" w:cstheme="minorBidi"/>
        </w:rPr>
        <w:t>Stockport Homes Group (SHG) planned and ran the survey on behalf of Stockport Metropolitan Borough Council (SMBC). This year, we also used an external company called Pexel to carry out some of the surveys by phone.</w:t>
      </w:r>
      <w:r w:rsidR="00DD3B96">
        <w:rPr>
          <w:rFonts w:asciiTheme="minorHAnsi" w:hAnsiTheme="minorHAnsi" w:cstheme="minorBidi"/>
        </w:rPr>
        <w:t xml:space="preserve">  </w:t>
      </w:r>
    </w:p>
    <w:p w14:paraId="53F45A10" w14:textId="77777777" w:rsidR="00EC3734" w:rsidRDefault="00EC3734" w:rsidP="00083E1D">
      <w:pPr>
        <w:rPr>
          <w:rFonts w:asciiTheme="minorHAnsi" w:hAnsiTheme="minorHAnsi" w:cstheme="minorBidi"/>
        </w:rPr>
      </w:pPr>
    </w:p>
    <w:p w14:paraId="5C2CD6E8" w14:textId="10529449" w:rsidR="00083E1D" w:rsidRPr="00083E1D" w:rsidRDefault="00DD3B96" w:rsidP="00083E1D">
      <w:pPr>
        <w:rPr>
          <w:rFonts w:asciiTheme="minorHAnsi" w:hAnsiTheme="minorHAnsi" w:cstheme="minorBidi"/>
        </w:rPr>
      </w:pPr>
      <w:r>
        <w:rPr>
          <w:rFonts w:asciiTheme="minorHAnsi" w:hAnsiTheme="minorHAnsi" w:cstheme="minorBidi"/>
        </w:rPr>
        <w:t xml:space="preserve">The addition of the use of external surveys </w:t>
      </w:r>
      <w:r w:rsidR="009339E3">
        <w:rPr>
          <w:rFonts w:asciiTheme="minorHAnsi" w:hAnsiTheme="minorHAnsi" w:cstheme="minorBidi"/>
        </w:rPr>
        <w:t xml:space="preserve">in 2025/26 </w:t>
      </w:r>
      <w:r>
        <w:rPr>
          <w:rFonts w:asciiTheme="minorHAnsi" w:hAnsiTheme="minorHAnsi" w:cstheme="minorBidi"/>
        </w:rPr>
        <w:t xml:space="preserve">was a change </w:t>
      </w:r>
      <w:r w:rsidR="00576CCD">
        <w:rPr>
          <w:rFonts w:asciiTheme="minorHAnsi" w:hAnsiTheme="minorHAnsi" w:cstheme="minorBidi"/>
        </w:rPr>
        <w:t xml:space="preserve">to the </w:t>
      </w:r>
      <w:r w:rsidR="00EA23FE">
        <w:rPr>
          <w:rFonts w:asciiTheme="minorHAnsi" w:hAnsiTheme="minorHAnsi" w:cstheme="minorBidi"/>
        </w:rPr>
        <w:t xml:space="preserve">survey </w:t>
      </w:r>
      <w:r w:rsidR="00576CCD">
        <w:rPr>
          <w:rFonts w:asciiTheme="minorHAnsi" w:hAnsiTheme="minorHAnsi" w:cstheme="minorBidi"/>
        </w:rPr>
        <w:t xml:space="preserve">methodology used </w:t>
      </w:r>
      <w:r w:rsidR="009339E3">
        <w:rPr>
          <w:rFonts w:asciiTheme="minorHAnsi" w:hAnsiTheme="minorHAnsi" w:cstheme="minorBidi"/>
        </w:rPr>
        <w:t xml:space="preserve">in previous years.  </w:t>
      </w:r>
      <w:r w:rsidR="00EC3734">
        <w:rPr>
          <w:rFonts w:asciiTheme="minorHAnsi" w:hAnsiTheme="minorHAnsi" w:cstheme="minorBidi"/>
        </w:rPr>
        <w:t>SHG enhanced the approach by using an external company alongside existing methods to help build an even fuller and more balanced picture of customers’ experiences.</w:t>
      </w:r>
    </w:p>
    <w:p w14:paraId="3F3D6D34" w14:textId="77777777" w:rsidR="00083E1D" w:rsidRPr="00083E1D" w:rsidRDefault="00083E1D" w:rsidP="00083E1D">
      <w:pPr>
        <w:rPr>
          <w:rFonts w:asciiTheme="minorHAnsi" w:hAnsiTheme="minorHAnsi" w:cstheme="minorBidi"/>
        </w:rPr>
      </w:pPr>
    </w:p>
    <w:p w14:paraId="32934573" w14:textId="77777777" w:rsidR="00083E1D" w:rsidRPr="00083E1D" w:rsidRDefault="00083E1D" w:rsidP="00083E1D">
      <w:pPr>
        <w:rPr>
          <w:rFonts w:asciiTheme="minorHAnsi" w:hAnsiTheme="minorHAnsi" w:cstheme="minorBidi"/>
        </w:rPr>
      </w:pPr>
      <w:r w:rsidRPr="00083E1D">
        <w:rPr>
          <w:rFonts w:asciiTheme="minorHAnsi" w:hAnsiTheme="minorHAnsi" w:cstheme="minorBidi"/>
        </w:rPr>
        <w:t>We followed the Regulator of Social Housing’s rules for Tenant Satisfaction Measures and tenant surveys. This helps make sure the results are fair, reliable, and can be compared with other landlords. The survey covers all required tenant perception measures (TP01–TP12).</w:t>
      </w:r>
    </w:p>
    <w:p w14:paraId="56DC1349" w14:textId="77777777" w:rsidR="00083E1D" w:rsidRPr="00083E1D" w:rsidRDefault="00083E1D" w:rsidP="00083E1D">
      <w:pPr>
        <w:rPr>
          <w:rFonts w:asciiTheme="minorHAnsi" w:hAnsiTheme="minorHAnsi" w:cstheme="minorBidi"/>
        </w:rPr>
      </w:pPr>
    </w:p>
    <w:p w14:paraId="5864BC90" w14:textId="18E69CAE" w:rsidR="00021C90" w:rsidRDefault="00083E1D" w:rsidP="435F1B8A">
      <w:pPr>
        <w:rPr>
          <w:rFonts w:asciiTheme="minorHAnsi" w:hAnsiTheme="minorHAnsi" w:cstheme="minorBidi"/>
        </w:rPr>
      </w:pPr>
      <w:r w:rsidRPr="00083E1D">
        <w:rPr>
          <w:rFonts w:asciiTheme="minorHAnsi" w:hAnsiTheme="minorHAnsi" w:cstheme="minorBidi"/>
        </w:rPr>
        <w:t>We did not offer any rewards or incentives to tenants to take part in the survey.</w:t>
      </w:r>
    </w:p>
    <w:p w14:paraId="1C817F34" w14:textId="77777777" w:rsidR="00021C90" w:rsidRDefault="00021C90" w:rsidP="435F1B8A">
      <w:pPr>
        <w:rPr>
          <w:rFonts w:asciiTheme="minorHAnsi" w:hAnsiTheme="minorHAnsi" w:cstheme="minorBidi"/>
        </w:rPr>
      </w:pPr>
    </w:p>
    <w:p w14:paraId="36E37996" w14:textId="77777777" w:rsidR="00021C90" w:rsidRPr="00021C90" w:rsidRDefault="00021C90" w:rsidP="00021C90">
      <w:pPr>
        <w:rPr>
          <w:rFonts w:asciiTheme="minorHAnsi" w:hAnsiTheme="minorHAnsi" w:cstheme="minorBidi"/>
        </w:rPr>
      </w:pPr>
      <w:r w:rsidRPr="00021C90">
        <w:rPr>
          <w:rFonts w:asciiTheme="minorHAnsi" w:hAnsiTheme="minorHAnsi" w:cstheme="minorBidi"/>
        </w:rPr>
        <w:t>The survey was based on 11,387 homes. This number comes from our 2025/26 housing data return and matches the Regulator’s definition of which homes should be included.</w:t>
      </w:r>
    </w:p>
    <w:p w14:paraId="4FBC3D0B" w14:textId="77777777" w:rsidR="00021C90" w:rsidRPr="00021C90" w:rsidRDefault="00021C90" w:rsidP="00021C90">
      <w:pPr>
        <w:rPr>
          <w:rFonts w:asciiTheme="minorHAnsi" w:hAnsiTheme="minorHAnsi" w:cstheme="minorBidi"/>
        </w:rPr>
      </w:pPr>
    </w:p>
    <w:p w14:paraId="2E5F2FD0" w14:textId="77777777" w:rsidR="00ED48AA" w:rsidRDefault="00021C90" w:rsidP="00021C90">
      <w:pPr>
        <w:rPr>
          <w:rFonts w:asciiTheme="minorHAnsi" w:hAnsiTheme="minorHAnsi" w:cstheme="minorBidi"/>
        </w:rPr>
      </w:pPr>
      <w:r w:rsidRPr="00021C90">
        <w:rPr>
          <w:rFonts w:asciiTheme="minorHAnsi" w:hAnsiTheme="minorHAnsi" w:cstheme="minorBidi"/>
        </w:rPr>
        <w:t>We did not leave any tenants out. Everyone who was eligible had a chance to be selected for the survey.</w:t>
      </w:r>
      <w:r w:rsidR="00FB6EA1">
        <w:rPr>
          <w:rFonts w:asciiTheme="minorHAnsi" w:hAnsiTheme="minorHAnsi" w:cstheme="minorBidi"/>
        </w:rPr>
        <w:t xml:space="preserve">  </w:t>
      </w:r>
    </w:p>
    <w:p w14:paraId="3E5BC63A" w14:textId="77777777" w:rsidR="00ED48AA" w:rsidRDefault="00ED48AA" w:rsidP="00021C90">
      <w:pPr>
        <w:rPr>
          <w:rFonts w:asciiTheme="minorHAnsi" w:hAnsiTheme="minorHAnsi" w:cstheme="minorBidi"/>
        </w:rPr>
      </w:pPr>
    </w:p>
    <w:p w14:paraId="037EA8C4" w14:textId="14B9FE41" w:rsidR="00021C90" w:rsidRPr="00021C90" w:rsidRDefault="00982240" w:rsidP="00021C90">
      <w:pPr>
        <w:rPr>
          <w:rFonts w:asciiTheme="minorHAnsi" w:hAnsiTheme="minorHAnsi" w:cstheme="minorBidi"/>
        </w:rPr>
      </w:pPr>
      <w:r>
        <w:rPr>
          <w:rFonts w:asciiTheme="minorHAnsi" w:hAnsiTheme="minorHAnsi" w:cstheme="minorBidi"/>
        </w:rPr>
        <w:t xml:space="preserve">Stockport Homes reports information to the Regulator </w:t>
      </w:r>
      <w:r w:rsidR="00C10720">
        <w:rPr>
          <w:rFonts w:asciiTheme="minorHAnsi" w:hAnsiTheme="minorHAnsi" w:cstheme="minorBidi"/>
        </w:rPr>
        <w:t xml:space="preserve">on behalf of Stockport Council </w:t>
      </w:r>
      <w:r w:rsidR="006C5977">
        <w:rPr>
          <w:rFonts w:asciiTheme="minorHAnsi" w:hAnsiTheme="minorHAnsi" w:cstheme="minorBidi"/>
        </w:rPr>
        <w:t>on a ‘group’ basis</w:t>
      </w:r>
      <w:r w:rsidR="00050B04">
        <w:rPr>
          <w:rFonts w:asciiTheme="minorHAnsi" w:hAnsiTheme="minorHAnsi" w:cstheme="minorBidi"/>
        </w:rPr>
        <w:t>. This</w:t>
      </w:r>
      <w:r w:rsidR="006C5977">
        <w:rPr>
          <w:rFonts w:asciiTheme="minorHAnsi" w:hAnsiTheme="minorHAnsi" w:cstheme="minorBidi"/>
        </w:rPr>
        <w:t xml:space="preserve"> means survey results from customers living in properties owned by Sto</w:t>
      </w:r>
      <w:r w:rsidR="00C10720">
        <w:rPr>
          <w:rFonts w:asciiTheme="minorHAnsi" w:hAnsiTheme="minorHAnsi" w:cstheme="minorBidi"/>
        </w:rPr>
        <w:t xml:space="preserve">ckport Council and Stockport Homes </w:t>
      </w:r>
      <w:r w:rsidR="00050B04">
        <w:rPr>
          <w:rFonts w:asciiTheme="minorHAnsi" w:hAnsiTheme="minorHAnsi" w:cstheme="minorBidi"/>
        </w:rPr>
        <w:t>are reported together.</w:t>
      </w:r>
    </w:p>
    <w:p w14:paraId="2D1D0B8B" w14:textId="77777777" w:rsidR="00021C90" w:rsidRPr="00021C90" w:rsidRDefault="00021C90" w:rsidP="00021C90">
      <w:pPr>
        <w:rPr>
          <w:rFonts w:asciiTheme="minorHAnsi" w:hAnsiTheme="minorHAnsi" w:cstheme="minorBidi"/>
        </w:rPr>
      </w:pPr>
    </w:p>
    <w:p w14:paraId="4E50B102" w14:textId="77777777" w:rsidR="00021C90" w:rsidRPr="00021C90" w:rsidRDefault="00021C90" w:rsidP="00021C90">
      <w:pPr>
        <w:rPr>
          <w:rFonts w:asciiTheme="minorHAnsi" w:hAnsiTheme="minorHAnsi" w:cstheme="minorBidi"/>
          <w:u w:val="single"/>
        </w:rPr>
      </w:pPr>
      <w:r w:rsidRPr="00021C90">
        <w:rPr>
          <w:rFonts w:asciiTheme="minorHAnsi" w:hAnsiTheme="minorHAnsi" w:cstheme="minorBidi"/>
          <w:u w:val="single"/>
        </w:rPr>
        <w:t>How we carried out the survey</w:t>
      </w:r>
    </w:p>
    <w:p w14:paraId="08A36795" w14:textId="77777777" w:rsidR="00021C90" w:rsidRPr="00021C90" w:rsidRDefault="00021C90" w:rsidP="00021C90">
      <w:pPr>
        <w:rPr>
          <w:rFonts w:asciiTheme="minorHAnsi" w:hAnsiTheme="minorHAnsi" w:cstheme="minorBidi"/>
        </w:rPr>
      </w:pPr>
    </w:p>
    <w:p w14:paraId="7FC96809" w14:textId="77777777" w:rsidR="00021C90" w:rsidRPr="00021C90" w:rsidRDefault="00021C90" w:rsidP="00021C90">
      <w:pPr>
        <w:rPr>
          <w:rFonts w:asciiTheme="minorHAnsi" w:hAnsiTheme="minorHAnsi" w:cstheme="minorBidi"/>
        </w:rPr>
      </w:pPr>
      <w:r w:rsidRPr="00021C90">
        <w:rPr>
          <w:rFonts w:asciiTheme="minorHAnsi" w:hAnsiTheme="minorHAnsi" w:cstheme="minorBidi"/>
        </w:rPr>
        <w:t>We used a sample of tenants rather than asking everyone to take part. To meet the required level of accuracy, we needed at least 1,068 responses. This would give us a 95% confidence level and a margin of error of plus or minus 3%.</w:t>
      </w:r>
    </w:p>
    <w:p w14:paraId="6CA92837" w14:textId="77777777" w:rsidR="00021C90" w:rsidRPr="00021C90" w:rsidRDefault="00021C90" w:rsidP="00021C90">
      <w:pPr>
        <w:rPr>
          <w:rFonts w:asciiTheme="minorHAnsi" w:hAnsiTheme="minorHAnsi" w:cstheme="minorBidi"/>
        </w:rPr>
      </w:pPr>
      <w:r w:rsidRPr="00021C90">
        <w:rPr>
          <w:rFonts w:asciiTheme="minorHAnsi" w:hAnsiTheme="minorHAnsi" w:cstheme="minorBidi"/>
        </w:rPr>
        <w:t>In total, we received 1,909 completed surveys, which is higher than the minimum needed.</w:t>
      </w:r>
    </w:p>
    <w:p w14:paraId="3078A511" w14:textId="77777777" w:rsidR="00021C90" w:rsidRPr="00021C90" w:rsidRDefault="00021C90" w:rsidP="00021C90">
      <w:pPr>
        <w:rPr>
          <w:rFonts w:asciiTheme="minorHAnsi" w:hAnsiTheme="minorHAnsi" w:cstheme="minorBidi"/>
        </w:rPr>
      </w:pPr>
    </w:p>
    <w:p w14:paraId="3E2E3117" w14:textId="1F6143FC" w:rsidR="00021C90" w:rsidRPr="00CD5AD1" w:rsidRDefault="00021C90" w:rsidP="00021C90">
      <w:pPr>
        <w:rPr>
          <w:rFonts w:asciiTheme="minorHAnsi" w:hAnsiTheme="minorHAnsi" w:cstheme="minorBidi"/>
        </w:rPr>
      </w:pPr>
      <w:r w:rsidRPr="00021C90">
        <w:rPr>
          <w:rFonts w:asciiTheme="minorHAnsi" w:hAnsiTheme="minorHAnsi" w:cstheme="minorBidi"/>
        </w:rPr>
        <w:t>The survey ran throughout the year, from 1 April 2025 to 31 March 2026.</w:t>
      </w:r>
    </w:p>
    <w:p w14:paraId="22A55B95" w14:textId="77777777" w:rsidR="0045679A" w:rsidRDefault="0045679A" w:rsidP="00D66F7E">
      <w:pPr>
        <w:rPr>
          <w:rFonts w:asciiTheme="minorHAnsi" w:hAnsiTheme="minorHAnsi" w:cstheme="minorHAnsi"/>
        </w:rPr>
      </w:pPr>
    </w:p>
    <w:p w14:paraId="21FBDFF9" w14:textId="77777777" w:rsidR="00C468C5" w:rsidRDefault="00C468C5" w:rsidP="000F396B">
      <w:pPr>
        <w:rPr>
          <w:rFonts w:asciiTheme="minorHAnsi" w:hAnsiTheme="minorHAnsi" w:cstheme="minorHAnsi"/>
          <w:u w:val="single"/>
        </w:rPr>
      </w:pPr>
    </w:p>
    <w:p w14:paraId="6BEDD399" w14:textId="77777777" w:rsidR="00C468C5" w:rsidRDefault="00C468C5" w:rsidP="000F396B">
      <w:pPr>
        <w:rPr>
          <w:rFonts w:asciiTheme="minorHAnsi" w:hAnsiTheme="minorHAnsi" w:cstheme="minorHAnsi"/>
          <w:u w:val="single"/>
        </w:rPr>
      </w:pPr>
    </w:p>
    <w:p w14:paraId="0969917B" w14:textId="77777777" w:rsidR="00C468C5" w:rsidRDefault="00C468C5" w:rsidP="000F396B">
      <w:pPr>
        <w:rPr>
          <w:rFonts w:asciiTheme="minorHAnsi" w:hAnsiTheme="minorHAnsi" w:cstheme="minorHAnsi"/>
          <w:u w:val="single"/>
        </w:rPr>
      </w:pPr>
    </w:p>
    <w:p w14:paraId="17780868" w14:textId="77777777" w:rsidR="00C468C5" w:rsidRDefault="00C468C5" w:rsidP="000F396B">
      <w:pPr>
        <w:rPr>
          <w:rFonts w:asciiTheme="minorHAnsi" w:hAnsiTheme="minorHAnsi" w:cstheme="minorHAnsi"/>
          <w:u w:val="single"/>
        </w:rPr>
      </w:pPr>
    </w:p>
    <w:p w14:paraId="2A79213A" w14:textId="77777777" w:rsidR="00C468C5" w:rsidRDefault="00C468C5" w:rsidP="000F396B">
      <w:pPr>
        <w:rPr>
          <w:rFonts w:asciiTheme="minorHAnsi" w:hAnsiTheme="minorHAnsi" w:cstheme="minorHAnsi"/>
          <w:u w:val="single"/>
        </w:rPr>
      </w:pPr>
    </w:p>
    <w:p w14:paraId="08DD13FE" w14:textId="77777777" w:rsidR="00C468C5" w:rsidRDefault="00C468C5" w:rsidP="000F396B">
      <w:pPr>
        <w:rPr>
          <w:rFonts w:asciiTheme="minorHAnsi" w:hAnsiTheme="minorHAnsi" w:cstheme="minorHAnsi"/>
          <w:u w:val="single"/>
        </w:rPr>
      </w:pPr>
    </w:p>
    <w:p w14:paraId="621E3747" w14:textId="77777777" w:rsidR="00C468C5" w:rsidRDefault="00C468C5" w:rsidP="000F396B">
      <w:pPr>
        <w:rPr>
          <w:rFonts w:asciiTheme="minorHAnsi" w:hAnsiTheme="minorHAnsi" w:cstheme="minorHAnsi"/>
          <w:u w:val="single"/>
        </w:rPr>
      </w:pPr>
    </w:p>
    <w:p w14:paraId="7DBDC2DA" w14:textId="77777777" w:rsidR="00C468C5" w:rsidRDefault="00C468C5" w:rsidP="000F396B">
      <w:pPr>
        <w:rPr>
          <w:rFonts w:asciiTheme="minorHAnsi" w:hAnsiTheme="minorHAnsi" w:cstheme="minorHAnsi"/>
          <w:u w:val="single"/>
        </w:rPr>
      </w:pPr>
    </w:p>
    <w:p w14:paraId="71499A93" w14:textId="25F9DDC6" w:rsidR="000F396B" w:rsidRPr="006F3315" w:rsidRDefault="000F396B" w:rsidP="000F396B">
      <w:pPr>
        <w:rPr>
          <w:rFonts w:asciiTheme="minorHAnsi" w:hAnsiTheme="minorHAnsi" w:cstheme="minorHAnsi"/>
          <w:u w:val="single"/>
        </w:rPr>
      </w:pPr>
      <w:r w:rsidRPr="006F3315">
        <w:rPr>
          <w:rFonts w:asciiTheme="minorHAnsi" w:hAnsiTheme="minorHAnsi" w:cstheme="minorHAnsi"/>
          <w:u w:val="single"/>
        </w:rPr>
        <w:t>Making the survey easy for everyone</w:t>
      </w:r>
    </w:p>
    <w:p w14:paraId="2FBBED51" w14:textId="77777777" w:rsidR="000F396B" w:rsidRPr="006F3315" w:rsidRDefault="000F396B" w:rsidP="000F396B">
      <w:pPr>
        <w:rPr>
          <w:rFonts w:asciiTheme="minorHAnsi" w:hAnsiTheme="minorHAnsi" w:cstheme="minorHAnsi"/>
        </w:rPr>
      </w:pPr>
    </w:p>
    <w:p w14:paraId="578C1644" w14:textId="77777777" w:rsidR="000F396B" w:rsidRPr="006F3315" w:rsidRDefault="000F396B" w:rsidP="000F396B">
      <w:pPr>
        <w:rPr>
          <w:rFonts w:asciiTheme="minorHAnsi" w:hAnsiTheme="minorHAnsi" w:cstheme="minorHAnsi"/>
        </w:rPr>
      </w:pPr>
      <w:r w:rsidRPr="006F3315">
        <w:rPr>
          <w:rFonts w:asciiTheme="minorHAnsi" w:hAnsiTheme="minorHAnsi" w:cstheme="minorHAnsi"/>
        </w:rPr>
        <w:t>We used different ways for people to take part in the survey, such as phone and other methods.</w:t>
      </w:r>
    </w:p>
    <w:p w14:paraId="343F0060" w14:textId="77777777" w:rsidR="000F396B" w:rsidRPr="006F3315" w:rsidRDefault="000F396B" w:rsidP="000F396B">
      <w:pPr>
        <w:rPr>
          <w:rFonts w:asciiTheme="minorHAnsi" w:hAnsiTheme="minorHAnsi" w:cstheme="minorHAnsi"/>
        </w:rPr>
      </w:pPr>
    </w:p>
    <w:p w14:paraId="6FFE3C43" w14:textId="77777777" w:rsidR="000F396B" w:rsidRPr="006F3315" w:rsidRDefault="000F396B" w:rsidP="000F396B">
      <w:pPr>
        <w:rPr>
          <w:rFonts w:asciiTheme="minorHAnsi" w:hAnsiTheme="minorHAnsi" w:cstheme="minorHAnsi"/>
        </w:rPr>
      </w:pPr>
      <w:r w:rsidRPr="006F3315">
        <w:rPr>
          <w:rFonts w:asciiTheme="minorHAnsi" w:hAnsiTheme="minorHAnsi" w:cstheme="minorHAnsi"/>
        </w:rPr>
        <w:t>This helped more tenants join in, including people who do not use the internet, have accessibility needs, or prefer a different way of sharing their views.</w:t>
      </w:r>
    </w:p>
    <w:p w14:paraId="075ACAEF" w14:textId="77777777" w:rsidR="000F396B" w:rsidRPr="006F3315" w:rsidRDefault="000F396B" w:rsidP="000F396B">
      <w:pPr>
        <w:rPr>
          <w:rFonts w:asciiTheme="minorHAnsi" w:hAnsiTheme="minorHAnsi" w:cstheme="minorHAnsi"/>
        </w:rPr>
      </w:pPr>
    </w:p>
    <w:p w14:paraId="3ECA6756" w14:textId="54434257" w:rsidR="000F396B" w:rsidRDefault="000F396B" w:rsidP="00D66F7E">
      <w:pPr>
        <w:rPr>
          <w:rFonts w:asciiTheme="minorHAnsi" w:hAnsiTheme="minorHAnsi" w:cstheme="minorHAnsi"/>
        </w:rPr>
      </w:pPr>
      <w:r w:rsidRPr="006F3315">
        <w:rPr>
          <w:rFonts w:asciiTheme="minorHAnsi" w:hAnsiTheme="minorHAnsi" w:cstheme="minorHAnsi"/>
        </w:rPr>
        <w:t>We chose this approach to make it easier for everyone to take part and to make sure the results better reflect all our customers.</w:t>
      </w:r>
    </w:p>
    <w:p w14:paraId="7A9BB4F7" w14:textId="77777777" w:rsidR="000F396B" w:rsidRDefault="000F396B" w:rsidP="00D66F7E">
      <w:pPr>
        <w:rPr>
          <w:rFonts w:asciiTheme="minorHAnsi" w:hAnsiTheme="minorHAnsi" w:cstheme="minorHAnsi"/>
        </w:rPr>
      </w:pPr>
    </w:p>
    <w:p w14:paraId="7E94BDE8" w14:textId="5C491446" w:rsidR="00D801D1" w:rsidRDefault="00132189" w:rsidP="00D66F7E">
      <w:pPr>
        <w:rPr>
          <w:rFonts w:asciiTheme="minorHAnsi" w:hAnsiTheme="minorHAnsi" w:cstheme="minorHAnsi"/>
        </w:rPr>
      </w:pPr>
      <w:r>
        <w:rPr>
          <w:rFonts w:asciiTheme="minorHAnsi" w:hAnsiTheme="minorHAnsi" w:cstheme="minorHAnsi"/>
        </w:rPr>
        <w:t>A mixed</w:t>
      </w:r>
      <w:r w:rsidR="005A7962">
        <w:rPr>
          <w:rFonts w:asciiTheme="minorHAnsi" w:hAnsiTheme="minorHAnsi" w:cstheme="minorHAnsi"/>
        </w:rPr>
        <w:t xml:space="preserve"> methodology </w:t>
      </w:r>
      <w:r w:rsidR="0085444A">
        <w:rPr>
          <w:rFonts w:asciiTheme="minorHAnsi" w:hAnsiTheme="minorHAnsi" w:cstheme="minorHAnsi"/>
        </w:rPr>
        <w:t>was used to maximise inclusion</w:t>
      </w:r>
      <w:r w:rsidR="002961A2">
        <w:rPr>
          <w:rFonts w:asciiTheme="minorHAnsi" w:hAnsiTheme="minorHAnsi" w:cstheme="minorHAnsi"/>
        </w:rPr>
        <w:t xml:space="preserve"> and reduce response bias</w:t>
      </w:r>
      <w:r w:rsidR="00847E72">
        <w:rPr>
          <w:rFonts w:asciiTheme="minorHAnsi" w:hAnsiTheme="minorHAnsi" w:cstheme="minorHAnsi"/>
        </w:rPr>
        <w:t xml:space="preserve"> – see breakdown below:</w:t>
      </w:r>
    </w:p>
    <w:p w14:paraId="496B2E55" w14:textId="77777777" w:rsidR="00847E72" w:rsidRPr="00CD5AD1" w:rsidRDefault="00847E72" w:rsidP="00D66F7E">
      <w:pPr>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020B13" w:rsidRPr="00CD5AD1" w14:paraId="1A7DB148" w14:textId="77777777" w:rsidTr="00020B13">
        <w:tc>
          <w:tcPr>
            <w:tcW w:w="4508" w:type="dxa"/>
          </w:tcPr>
          <w:p w14:paraId="47E743B6" w14:textId="0736ECD9" w:rsidR="00020B13" w:rsidRPr="00CD5AD1" w:rsidRDefault="00020B13" w:rsidP="00D66F7E">
            <w:pPr>
              <w:rPr>
                <w:rFonts w:asciiTheme="minorHAnsi" w:hAnsiTheme="minorHAnsi" w:cstheme="minorHAnsi"/>
                <w:b/>
                <w:bCs/>
                <w:sz w:val="22"/>
                <w:szCs w:val="22"/>
              </w:rPr>
            </w:pPr>
            <w:r w:rsidRPr="00CD5AD1">
              <w:rPr>
                <w:rFonts w:asciiTheme="minorHAnsi" w:hAnsiTheme="minorHAnsi" w:cstheme="minorHAnsi"/>
                <w:b/>
                <w:bCs/>
                <w:sz w:val="22"/>
                <w:szCs w:val="22"/>
              </w:rPr>
              <w:t>Survey Method</w:t>
            </w:r>
          </w:p>
        </w:tc>
        <w:tc>
          <w:tcPr>
            <w:tcW w:w="4508" w:type="dxa"/>
          </w:tcPr>
          <w:p w14:paraId="0E1D70D1" w14:textId="2B8B1221" w:rsidR="00020B13" w:rsidRPr="00CD5AD1" w:rsidRDefault="00020B13" w:rsidP="00D66F7E">
            <w:pPr>
              <w:rPr>
                <w:rFonts w:asciiTheme="minorHAnsi" w:hAnsiTheme="minorHAnsi" w:cstheme="minorHAnsi"/>
                <w:b/>
                <w:bCs/>
                <w:sz w:val="22"/>
                <w:szCs w:val="22"/>
              </w:rPr>
            </w:pPr>
            <w:r w:rsidRPr="00CD5AD1">
              <w:rPr>
                <w:rFonts w:asciiTheme="minorHAnsi" w:hAnsiTheme="minorHAnsi" w:cstheme="minorHAnsi"/>
                <w:b/>
                <w:bCs/>
                <w:sz w:val="22"/>
                <w:szCs w:val="22"/>
              </w:rPr>
              <w:t>Responses</w:t>
            </w:r>
          </w:p>
        </w:tc>
      </w:tr>
      <w:tr w:rsidR="00020B13" w:rsidRPr="00CD5AD1" w14:paraId="32DA0376" w14:textId="77777777" w:rsidTr="00020B13">
        <w:tc>
          <w:tcPr>
            <w:tcW w:w="4508" w:type="dxa"/>
          </w:tcPr>
          <w:p w14:paraId="6306E933" w14:textId="71472255" w:rsidR="00020B13" w:rsidRPr="00CD5AD1" w:rsidRDefault="009640B6" w:rsidP="00D66F7E">
            <w:pPr>
              <w:rPr>
                <w:rFonts w:asciiTheme="minorHAnsi" w:hAnsiTheme="minorHAnsi" w:cstheme="minorHAnsi"/>
                <w:sz w:val="22"/>
                <w:szCs w:val="22"/>
              </w:rPr>
            </w:pPr>
            <w:r w:rsidRPr="00CD5AD1">
              <w:rPr>
                <w:rFonts w:asciiTheme="minorHAnsi" w:hAnsiTheme="minorHAnsi" w:cstheme="minorHAnsi"/>
                <w:sz w:val="22"/>
                <w:szCs w:val="22"/>
              </w:rPr>
              <w:t>Face to face</w:t>
            </w:r>
          </w:p>
        </w:tc>
        <w:tc>
          <w:tcPr>
            <w:tcW w:w="4508" w:type="dxa"/>
          </w:tcPr>
          <w:p w14:paraId="1B2D45C3" w14:textId="18587BD4" w:rsidR="00020B13" w:rsidRPr="00CD5AD1" w:rsidRDefault="00843CBE" w:rsidP="00D66F7E">
            <w:pPr>
              <w:rPr>
                <w:rFonts w:asciiTheme="minorHAnsi" w:hAnsiTheme="minorHAnsi" w:cstheme="minorHAnsi"/>
                <w:sz w:val="22"/>
                <w:szCs w:val="22"/>
              </w:rPr>
            </w:pPr>
            <w:r w:rsidRPr="00CD5AD1">
              <w:rPr>
                <w:rFonts w:asciiTheme="minorHAnsi" w:hAnsiTheme="minorHAnsi" w:cstheme="minorHAnsi"/>
                <w:sz w:val="22"/>
                <w:szCs w:val="22"/>
              </w:rPr>
              <w:t>1,</w:t>
            </w:r>
            <w:r w:rsidR="003E675A" w:rsidRPr="00CD5AD1">
              <w:rPr>
                <w:rFonts w:asciiTheme="minorHAnsi" w:hAnsiTheme="minorHAnsi" w:cstheme="minorHAnsi"/>
                <w:sz w:val="22"/>
                <w:szCs w:val="22"/>
              </w:rPr>
              <w:t>189</w:t>
            </w:r>
          </w:p>
        </w:tc>
      </w:tr>
      <w:tr w:rsidR="00020B13" w:rsidRPr="00CD5AD1" w14:paraId="468B26E2" w14:textId="77777777" w:rsidTr="00020B13">
        <w:tc>
          <w:tcPr>
            <w:tcW w:w="4508" w:type="dxa"/>
          </w:tcPr>
          <w:p w14:paraId="70C3937E" w14:textId="4F8AA6CC" w:rsidR="00020B13" w:rsidRPr="00CD5AD1" w:rsidRDefault="00DD7B51" w:rsidP="00D66F7E">
            <w:pPr>
              <w:rPr>
                <w:rFonts w:asciiTheme="minorHAnsi" w:hAnsiTheme="minorHAnsi" w:cstheme="minorHAnsi"/>
                <w:sz w:val="22"/>
                <w:szCs w:val="22"/>
              </w:rPr>
            </w:pPr>
            <w:r w:rsidRPr="00CD5AD1">
              <w:rPr>
                <w:rFonts w:asciiTheme="minorHAnsi" w:hAnsiTheme="minorHAnsi" w:cstheme="minorHAnsi"/>
                <w:sz w:val="22"/>
                <w:szCs w:val="22"/>
              </w:rPr>
              <w:t>Telephone</w:t>
            </w:r>
          </w:p>
        </w:tc>
        <w:tc>
          <w:tcPr>
            <w:tcW w:w="4508" w:type="dxa"/>
          </w:tcPr>
          <w:p w14:paraId="19FE2982" w14:textId="5870E9C6" w:rsidR="00020B13" w:rsidRPr="00CD5AD1" w:rsidRDefault="003E675A" w:rsidP="00D66F7E">
            <w:pPr>
              <w:rPr>
                <w:rFonts w:asciiTheme="minorHAnsi" w:hAnsiTheme="minorHAnsi" w:cstheme="minorHAnsi"/>
                <w:sz w:val="22"/>
                <w:szCs w:val="22"/>
              </w:rPr>
            </w:pPr>
            <w:r w:rsidRPr="00CD5AD1">
              <w:rPr>
                <w:rFonts w:asciiTheme="minorHAnsi" w:hAnsiTheme="minorHAnsi" w:cstheme="minorHAnsi"/>
                <w:sz w:val="22"/>
                <w:szCs w:val="22"/>
              </w:rPr>
              <w:t>504</w:t>
            </w:r>
          </w:p>
        </w:tc>
      </w:tr>
      <w:tr w:rsidR="00020B13" w:rsidRPr="00CD5AD1" w14:paraId="50AE5C84" w14:textId="77777777" w:rsidTr="00020B13">
        <w:tc>
          <w:tcPr>
            <w:tcW w:w="4508" w:type="dxa"/>
          </w:tcPr>
          <w:p w14:paraId="7E242F1C" w14:textId="48FBFF64" w:rsidR="00020B13" w:rsidRPr="00CD5AD1" w:rsidRDefault="00D179EC" w:rsidP="00D66F7E">
            <w:pPr>
              <w:rPr>
                <w:rFonts w:asciiTheme="minorHAnsi" w:hAnsiTheme="minorHAnsi" w:cstheme="minorHAnsi"/>
                <w:sz w:val="22"/>
                <w:szCs w:val="22"/>
              </w:rPr>
            </w:pPr>
            <w:r w:rsidRPr="00CD5AD1">
              <w:rPr>
                <w:rFonts w:asciiTheme="minorHAnsi" w:hAnsiTheme="minorHAnsi" w:cstheme="minorHAnsi"/>
                <w:sz w:val="22"/>
                <w:szCs w:val="22"/>
              </w:rPr>
              <w:t>Online</w:t>
            </w:r>
          </w:p>
        </w:tc>
        <w:tc>
          <w:tcPr>
            <w:tcW w:w="4508" w:type="dxa"/>
          </w:tcPr>
          <w:p w14:paraId="4D304AB2" w14:textId="4707D792" w:rsidR="00020B13" w:rsidRPr="00CD5AD1" w:rsidRDefault="003E675A" w:rsidP="00D66F7E">
            <w:pPr>
              <w:rPr>
                <w:rFonts w:asciiTheme="minorHAnsi" w:hAnsiTheme="minorHAnsi" w:cstheme="minorHAnsi"/>
                <w:sz w:val="22"/>
                <w:szCs w:val="22"/>
              </w:rPr>
            </w:pPr>
            <w:r w:rsidRPr="00CD5AD1">
              <w:rPr>
                <w:rFonts w:asciiTheme="minorHAnsi" w:hAnsiTheme="minorHAnsi" w:cstheme="minorHAnsi"/>
                <w:sz w:val="22"/>
                <w:szCs w:val="22"/>
              </w:rPr>
              <w:t>216</w:t>
            </w:r>
          </w:p>
        </w:tc>
      </w:tr>
      <w:tr w:rsidR="00A3686D" w:rsidRPr="00CD5AD1" w14:paraId="6E93E872" w14:textId="77777777" w:rsidTr="00020B13">
        <w:tc>
          <w:tcPr>
            <w:tcW w:w="4508" w:type="dxa"/>
          </w:tcPr>
          <w:p w14:paraId="6AAF00FA" w14:textId="6FFDCE71" w:rsidR="00A3686D" w:rsidRPr="00CD5AD1" w:rsidRDefault="00A3686D" w:rsidP="00D66F7E">
            <w:pPr>
              <w:rPr>
                <w:rFonts w:asciiTheme="minorHAnsi" w:hAnsiTheme="minorHAnsi" w:cstheme="minorHAnsi"/>
                <w:b/>
                <w:bCs/>
                <w:sz w:val="22"/>
                <w:szCs w:val="22"/>
              </w:rPr>
            </w:pPr>
            <w:r w:rsidRPr="00CD5AD1">
              <w:rPr>
                <w:rFonts w:asciiTheme="minorHAnsi" w:hAnsiTheme="minorHAnsi" w:cstheme="minorHAnsi"/>
                <w:b/>
                <w:bCs/>
                <w:sz w:val="22"/>
                <w:szCs w:val="22"/>
              </w:rPr>
              <w:t>Total</w:t>
            </w:r>
          </w:p>
        </w:tc>
        <w:tc>
          <w:tcPr>
            <w:tcW w:w="4508" w:type="dxa"/>
          </w:tcPr>
          <w:p w14:paraId="56C56A82" w14:textId="3DDDD9B4" w:rsidR="00A3686D" w:rsidRPr="00CD5AD1" w:rsidRDefault="00A3686D" w:rsidP="00D66F7E">
            <w:pPr>
              <w:rPr>
                <w:rFonts w:asciiTheme="minorHAnsi" w:hAnsiTheme="minorHAnsi" w:cstheme="minorHAnsi"/>
                <w:b/>
                <w:bCs/>
                <w:sz w:val="22"/>
                <w:szCs w:val="22"/>
              </w:rPr>
            </w:pPr>
            <w:r w:rsidRPr="00CD5AD1">
              <w:rPr>
                <w:rFonts w:asciiTheme="minorHAnsi" w:hAnsiTheme="minorHAnsi" w:cstheme="minorHAnsi"/>
                <w:b/>
                <w:bCs/>
                <w:sz w:val="22"/>
                <w:szCs w:val="22"/>
              </w:rPr>
              <w:t>1,</w:t>
            </w:r>
            <w:r w:rsidR="003E675A" w:rsidRPr="00CD5AD1">
              <w:rPr>
                <w:rFonts w:asciiTheme="minorHAnsi" w:hAnsiTheme="minorHAnsi" w:cstheme="minorHAnsi"/>
                <w:b/>
                <w:bCs/>
                <w:sz w:val="22"/>
                <w:szCs w:val="22"/>
              </w:rPr>
              <w:t>909</w:t>
            </w:r>
          </w:p>
        </w:tc>
      </w:tr>
    </w:tbl>
    <w:p w14:paraId="2AAE7375" w14:textId="77777777" w:rsidR="006F3315" w:rsidRPr="002C4C7B" w:rsidRDefault="006F3315" w:rsidP="002C4C7B">
      <w:pPr>
        <w:rPr>
          <w:rFonts w:asciiTheme="minorHAnsi" w:hAnsiTheme="minorHAnsi" w:cstheme="minorBidi"/>
          <w:strike/>
        </w:rPr>
      </w:pPr>
    </w:p>
    <w:p w14:paraId="7CF0C1C2" w14:textId="77777777" w:rsidR="00C4055A" w:rsidRDefault="00393DB7" w:rsidP="006F3315">
      <w:pPr>
        <w:rPr>
          <w:rFonts w:asciiTheme="minorHAnsi" w:hAnsiTheme="minorHAnsi" w:cstheme="minorBidi"/>
        </w:rPr>
      </w:pPr>
      <w:r>
        <w:rPr>
          <w:rFonts w:asciiTheme="minorHAnsi" w:hAnsiTheme="minorHAnsi" w:cstheme="minorBidi"/>
        </w:rPr>
        <w:t xml:space="preserve">The </w:t>
      </w:r>
      <w:r w:rsidR="000E43D5">
        <w:rPr>
          <w:rFonts w:asciiTheme="minorHAnsi" w:hAnsiTheme="minorHAnsi" w:cstheme="minorBidi"/>
        </w:rPr>
        <w:t xml:space="preserve">approach to completion of </w:t>
      </w:r>
      <w:r w:rsidR="00E50152">
        <w:rPr>
          <w:rFonts w:asciiTheme="minorHAnsi" w:hAnsiTheme="minorHAnsi" w:cstheme="minorBidi"/>
        </w:rPr>
        <w:t xml:space="preserve">in person and online surveys has not changed in 2025/26 with tenants </w:t>
      </w:r>
      <w:r w:rsidR="00EB6D3C">
        <w:rPr>
          <w:rFonts w:asciiTheme="minorHAnsi" w:hAnsiTheme="minorHAnsi" w:cstheme="minorBidi"/>
        </w:rPr>
        <w:t xml:space="preserve">being </w:t>
      </w:r>
      <w:r w:rsidR="00E50152">
        <w:rPr>
          <w:rFonts w:asciiTheme="minorHAnsi" w:hAnsiTheme="minorHAnsi" w:cstheme="minorBidi"/>
        </w:rPr>
        <w:t xml:space="preserve">selected </w:t>
      </w:r>
      <w:r w:rsidR="00EB6D3C">
        <w:rPr>
          <w:rFonts w:asciiTheme="minorHAnsi" w:hAnsiTheme="minorHAnsi" w:cstheme="minorBidi"/>
        </w:rPr>
        <w:t xml:space="preserve">in the same way as in previous years.  </w:t>
      </w:r>
      <w:r w:rsidR="002B1F7C">
        <w:rPr>
          <w:rFonts w:asciiTheme="minorHAnsi" w:hAnsiTheme="minorHAnsi" w:cstheme="minorBidi"/>
        </w:rPr>
        <w:t xml:space="preserve">Internal checking processes are ongoing throughout the year to ensure </w:t>
      </w:r>
      <w:r w:rsidR="006E287D">
        <w:rPr>
          <w:rFonts w:asciiTheme="minorHAnsi" w:hAnsiTheme="minorHAnsi" w:cstheme="minorBidi"/>
        </w:rPr>
        <w:t>samples are representative of the wider tenant population</w:t>
      </w:r>
      <w:r w:rsidR="00531B50">
        <w:rPr>
          <w:rFonts w:asciiTheme="minorHAnsi" w:hAnsiTheme="minorHAnsi" w:cstheme="minorBidi"/>
        </w:rPr>
        <w:t xml:space="preserve">.  </w:t>
      </w:r>
    </w:p>
    <w:p w14:paraId="0BA35A5D" w14:textId="77777777" w:rsidR="00C4055A" w:rsidRDefault="00C4055A" w:rsidP="006F3315">
      <w:pPr>
        <w:rPr>
          <w:rFonts w:asciiTheme="minorHAnsi" w:hAnsiTheme="minorHAnsi" w:cstheme="minorBidi"/>
        </w:rPr>
      </w:pPr>
    </w:p>
    <w:p w14:paraId="72879176" w14:textId="351F185B" w:rsidR="00C468C5" w:rsidRPr="00393DB7" w:rsidRDefault="00531B50" w:rsidP="006F3315">
      <w:pPr>
        <w:rPr>
          <w:rFonts w:asciiTheme="minorHAnsi" w:hAnsiTheme="minorHAnsi" w:cstheme="minorBidi"/>
        </w:rPr>
      </w:pPr>
      <w:r>
        <w:rPr>
          <w:rFonts w:asciiTheme="minorHAnsi" w:hAnsiTheme="minorHAnsi" w:cstheme="minorBidi"/>
        </w:rPr>
        <w:t>This year</w:t>
      </w:r>
      <w:r w:rsidR="003C6289">
        <w:rPr>
          <w:rFonts w:asciiTheme="minorHAnsi" w:hAnsiTheme="minorHAnsi" w:cstheme="minorBidi"/>
        </w:rPr>
        <w:t xml:space="preserve"> we </w:t>
      </w:r>
      <w:r>
        <w:rPr>
          <w:rFonts w:asciiTheme="minorHAnsi" w:hAnsiTheme="minorHAnsi" w:cstheme="minorBidi"/>
        </w:rPr>
        <w:t xml:space="preserve">also introduced </w:t>
      </w:r>
      <w:r w:rsidR="00C4055A">
        <w:rPr>
          <w:rFonts w:asciiTheme="minorHAnsi" w:hAnsiTheme="minorHAnsi" w:cstheme="minorBidi"/>
        </w:rPr>
        <w:t>external telephone surveys</w:t>
      </w:r>
      <w:r w:rsidR="008C55A2">
        <w:rPr>
          <w:rFonts w:asciiTheme="minorHAnsi" w:hAnsiTheme="minorHAnsi" w:cstheme="minorBidi"/>
        </w:rPr>
        <w:t xml:space="preserve"> to ensure a</w:t>
      </w:r>
      <w:r w:rsidR="00E14184">
        <w:rPr>
          <w:rFonts w:asciiTheme="minorHAnsi" w:hAnsiTheme="minorHAnsi" w:cstheme="minorBidi"/>
        </w:rPr>
        <w:t xml:space="preserve"> more balanced picture of customers’ experiences.  </w:t>
      </w:r>
      <w:r w:rsidR="00AE2604">
        <w:rPr>
          <w:rFonts w:asciiTheme="minorHAnsi" w:hAnsiTheme="minorHAnsi" w:cstheme="minorBidi"/>
        </w:rPr>
        <w:t xml:space="preserve">During 2025/26 we completed most of these surveys in the second half of the year.  </w:t>
      </w:r>
      <w:r w:rsidR="006C0400">
        <w:rPr>
          <w:rFonts w:asciiTheme="minorHAnsi" w:hAnsiTheme="minorHAnsi" w:cstheme="minorBidi"/>
        </w:rPr>
        <w:t>In the coming year we will be completing</w:t>
      </w:r>
      <w:r w:rsidR="00842843">
        <w:rPr>
          <w:rFonts w:asciiTheme="minorHAnsi" w:hAnsiTheme="minorHAnsi" w:cstheme="minorBidi"/>
        </w:rPr>
        <w:t xml:space="preserve"> external telephone surveys </w:t>
      </w:r>
      <w:r w:rsidR="008B16E6">
        <w:rPr>
          <w:rFonts w:asciiTheme="minorHAnsi" w:hAnsiTheme="minorHAnsi" w:cstheme="minorBidi"/>
        </w:rPr>
        <w:t xml:space="preserve">on a </w:t>
      </w:r>
      <w:r w:rsidR="00CF669E">
        <w:rPr>
          <w:rFonts w:asciiTheme="minorHAnsi" w:hAnsiTheme="minorHAnsi" w:cstheme="minorBidi"/>
        </w:rPr>
        <w:t xml:space="preserve">monthly </w:t>
      </w:r>
      <w:r w:rsidR="008B16E6">
        <w:rPr>
          <w:rFonts w:asciiTheme="minorHAnsi" w:hAnsiTheme="minorHAnsi" w:cstheme="minorBidi"/>
        </w:rPr>
        <w:t>rolling programme throughout the year.</w:t>
      </w:r>
    </w:p>
    <w:p w14:paraId="354DE90B" w14:textId="77777777" w:rsidR="00C468C5" w:rsidRPr="008445D8" w:rsidRDefault="00C468C5" w:rsidP="006F3315">
      <w:pPr>
        <w:rPr>
          <w:rFonts w:asciiTheme="minorHAnsi" w:hAnsiTheme="minorHAnsi" w:cstheme="minorBidi"/>
          <w:sz w:val="16"/>
          <w:szCs w:val="12"/>
          <w:u w:val="single"/>
        </w:rPr>
      </w:pPr>
    </w:p>
    <w:p w14:paraId="22228D80" w14:textId="55E46044" w:rsidR="006F3315" w:rsidRPr="006F3315" w:rsidRDefault="006F3315" w:rsidP="006F3315">
      <w:pPr>
        <w:rPr>
          <w:rFonts w:asciiTheme="minorHAnsi" w:hAnsiTheme="minorHAnsi" w:cstheme="minorBidi"/>
          <w:u w:val="single"/>
        </w:rPr>
      </w:pPr>
      <w:r w:rsidRPr="006F3315">
        <w:rPr>
          <w:rFonts w:asciiTheme="minorHAnsi" w:hAnsiTheme="minorHAnsi" w:cstheme="minorBidi"/>
          <w:u w:val="single"/>
        </w:rPr>
        <w:t>Survey questions</w:t>
      </w:r>
    </w:p>
    <w:p w14:paraId="229B2F22" w14:textId="77777777" w:rsidR="006F3315" w:rsidRPr="008445D8" w:rsidRDefault="006F3315" w:rsidP="006F3315">
      <w:pPr>
        <w:rPr>
          <w:rFonts w:asciiTheme="minorHAnsi" w:hAnsiTheme="minorHAnsi" w:cstheme="minorBidi"/>
          <w:sz w:val="16"/>
          <w:szCs w:val="12"/>
        </w:rPr>
      </w:pPr>
    </w:p>
    <w:p w14:paraId="366BF7B4" w14:textId="77777777" w:rsidR="006F3315" w:rsidRDefault="006F3315" w:rsidP="006F3315">
      <w:pPr>
        <w:rPr>
          <w:rFonts w:asciiTheme="minorHAnsi" w:hAnsiTheme="minorHAnsi" w:cstheme="minorBidi"/>
        </w:rPr>
      </w:pPr>
      <w:r w:rsidRPr="006F3315">
        <w:rPr>
          <w:rFonts w:asciiTheme="minorHAnsi" w:hAnsiTheme="minorHAnsi" w:cstheme="minorBidi"/>
        </w:rPr>
        <w:t>We made sure the survey followed all the required rules:</w:t>
      </w:r>
    </w:p>
    <w:p w14:paraId="021214EE" w14:textId="77777777" w:rsidR="00AC393D" w:rsidRPr="006F3315" w:rsidRDefault="00AC393D" w:rsidP="006F3315">
      <w:pPr>
        <w:rPr>
          <w:rFonts w:asciiTheme="minorHAnsi" w:hAnsiTheme="minorHAnsi" w:cstheme="minorBidi"/>
        </w:rPr>
      </w:pPr>
    </w:p>
    <w:p w14:paraId="670A91C0" w14:textId="77777777" w:rsidR="006F3315" w:rsidRPr="00AC393D" w:rsidRDefault="006F3315" w:rsidP="00AC393D">
      <w:pPr>
        <w:pStyle w:val="ListParagraph"/>
        <w:numPr>
          <w:ilvl w:val="0"/>
          <w:numId w:val="16"/>
        </w:numPr>
        <w:rPr>
          <w:rFonts w:asciiTheme="minorHAnsi" w:hAnsiTheme="minorHAnsi" w:cstheme="minorBidi"/>
        </w:rPr>
      </w:pPr>
      <w:r w:rsidRPr="00AC393D">
        <w:rPr>
          <w:rFonts w:asciiTheme="minorHAnsi" w:hAnsiTheme="minorHAnsi" w:cstheme="minorBidi"/>
        </w:rPr>
        <w:t>All questions used the exact wording and answer options set by the regulator</w:t>
      </w:r>
    </w:p>
    <w:p w14:paraId="1B865908" w14:textId="77777777" w:rsidR="006F3315" w:rsidRPr="00AC393D" w:rsidRDefault="006F3315" w:rsidP="00AC393D">
      <w:pPr>
        <w:pStyle w:val="ListParagraph"/>
        <w:numPr>
          <w:ilvl w:val="0"/>
          <w:numId w:val="16"/>
        </w:numPr>
        <w:rPr>
          <w:rFonts w:asciiTheme="minorHAnsi" w:hAnsiTheme="minorHAnsi" w:cstheme="minorBidi"/>
        </w:rPr>
      </w:pPr>
      <w:r w:rsidRPr="00AC393D">
        <w:rPr>
          <w:rFonts w:asciiTheme="minorHAnsi" w:hAnsiTheme="minorHAnsi" w:cstheme="minorBidi"/>
        </w:rPr>
        <w:t>The survey was the same no matter how tenants took part</w:t>
      </w:r>
    </w:p>
    <w:p w14:paraId="0C123910" w14:textId="77777777" w:rsidR="006F3315" w:rsidRPr="00AC393D" w:rsidRDefault="006F3315" w:rsidP="00AC393D">
      <w:pPr>
        <w:pStyle w:val="ListParagraph"/>
        <w:numPr>
          <w:ilvl w:val="0"/>
          <w:numId w:val="16"/>
        </w:numPr>
        <w:rPr>
          <w:rFonts w:asciiTheme="minorHAnsi" w:hAnsiTheme="minorHAnsi" w:cstheme="minorBidi"/>
        </w:rPr>
      </w:pPr>
      <w:r w:rsidRPr="00AC393D">
        <w:rPr>
          <w:rFonts w:asciiTheme="minorHAnsi" w:hAnsiTheme="minorHAnsi" w:cstheme="minorBidi"/>
        </w:rPr>
        <w:t>We did not make any changes that would affect the results.</w:t>
      </w:r>
    </w:p>
    <w:p w14:paraId="3223D449" w14:textId="77777777" w:rsidR="006F3315" w:rsidRPr="006F3315" w:rsidRDefault="006F3315" w:rsidP="006F3315">
      <w:pPr>
        <w:rPr>
          <w:rFonts w:asciiTheme="minorHAnsi" w:hAnsiTheme="minorHAnsi" w:cstheme="minorBidi"/>
        </w:rPr>
      </w:pPr>
    </w:p>
    <w:p w14:paraId="53A60BD6" w14:textId="59DA6307" w:rsidR="006F3315" w:rsidRPr="006F3315" w:rsidRDefault="006F3315" w:rsidP="006F3315">
      <w:pPr>
        <w:rPr>
          <w:rFonts w:asciiTheme="minorHAnsi" w:hAnsiTheme="minorHAnsi" w:cstheme="minorBidi"/>
        </w:rPr>
      </w:pPr>
      <w:r w:rsidRPr="006F3315">
        <w:rPr>
          <w:rFonts w:asciiTheme="minorHAnsi" w:hAnsiTheme="minorHAnsi" w:cstheme="minorBidi"/>
        </w:rPr>
        <w:t>This means our results can be fairly compared with other housing providers.</w:t>
      </w:r>
    </w:p>
    <w:p w14:paraId="260E30ED" w14:textId="77777777" w:rsidR="00702634" w:rsidRPr="008445D8" w:rsidRDefault="00702634" w:rsidP="00F924FD">
      <w:pPr>
        <w:rPr>
          <w:rFonts w:asciiTheme="minorHAnsi" w:hAnsiTheme="minorHAnsi" w:cstheme="minorBidi"/>
          <w:sz w:val="12"/>
          <w:szCs w:val="8"/>
        </w:rPr>
      </w:pPr>
    </w:p>
    <w:p w14:paraId="6A94888F" w14:textId="77777777" w:rsidR="00702634" w:rsidRPr="00702634" w:rsidRDefault="00702634" w:rsidP="00702634">
      <w:pPr>
        <w:rPr>
          <w:rFonts w:asciiTheme="minorHAnsi" w:hAnsiTheme="minorHAnsi" w:cstheme="minorBidi"/>
          <w:u w:val="single"/>
        </w:rPr>
      </w:pPr>
      <w:r w:rsidRPr="00702634">
        <w:rPr>
          <w:rFonts w:asciiTheme="minorHAnsi" w:hAnsiTheme="minorHAnsi" w:cstheme="minorBidi"/>
          <w:u w:val="single"/>
        </w:rPr>
        <w:t>Understanding the results</w:t>
      </w:r>
    </w:p>
    <w:p w14:paraId="5F47CD9C" w14:textId="77777777" w:rsidR="00702634" w:rsidRPr="00702634" w:rsidRDefault="00702634" w:rsidP="00702634">
      <w:pPr>
        <w:rPr>
          <w:rFonts w:asciiTheme="minorHAnsi" w:hAnsiTheme="minorHAnsi" w:cstheme="minorBidi"/>
        </w:rPr>
      </w:pPr>
    </w:p>
    <w:p w14:paraId="60A7B695" w14:textId="4131DF10" w:rsidR="00702634" w:rsidRPr="00702634" w:rsidRDefault="00702634" w:rsidP="00702634">
      <w:pPr>
        <w:rPr>
          <w:rFonts w:asciiTheme="minorHAnsi" w:hAnsiTheme="minorHAnsi" w:cstheme="minorBidi"/>
        </w:rPr>
      </w:pPr>
      <w:r w:rsidRPr="00702634">
        <w:rPr>
          <w:rFonts w:asciiTheme="minorHAnsi" w:hAnsiTheme="minorHAnsi" w:cstheme="minorBidi"/>
        </w:rPr>
        <w:t xml:space="preserve">We looked at the survey results and found that satisfaction levels </w:t>
      </w:r>
      <w:r w:rsidR="00AC393D">
        <w:rPr>
          <w:rFonts w:asciiTheme="minorHAnsi" w:hAnsiTheme="minorHAnsi" w:cstheme="minorBidi"/>
        </w:rPr>
        <w:t>differed</w:t>
      </w:r>
      <w:r w:rsidRPr="00702634">
        <w:rPr>
          <w:rFonts w:asciiTheme="minorHAnsi" w:hAnsiTheme="minorHAnsi" w:cstheme="minorBidi"/>
        </w:rPr>
        <w:t xml:space="preserve"> depending on how people completed the survey.</w:t>
      </w:r>
    </w:p>
    <w:p w14:paraId="1D1454F6" w14:textId="77777777" w:rsidR="00702634" w:rsidRPr="00702634" w:rsidRDefault="00702634" w:rsidP="00702634">
      <w:pPr>
        <w:rPr>
          <w:rFonts w:asciiTheme="minorHAnsi" w:hAnsiTheme="minorHAnsi" w:cstheme="minorBidi"/>
        </w:rPr>
      </w:pPr>
    </w:p>
    <w:p w14:paraId="4B8D2D2F" w14:textId="77777777" w:rsidR="006A46E8" w:rsidRDefault="006A46E8" w:rsidP="00702634">
      <w:pPr>
        <w:rPr>
          <w:rFonts w:asciiTheme="minorHAnsi" w:hAnsiTheme="minorHAnsi" w:cstheme="minorBidi"/>
        </w:rPr>
      </w:pPr>
    </w:p>
    <w:p w14:paraId="06559489" w14:textId="77777777" w:rsidR="006A46E8" w:rsidRDefault="006A46E8" w:rsidP="00702634">
      <w:pPr>
        <w:rPr>
          <w:rFonts w:asciiTheme="minorHAnsi" w:hAnsiTheme="minorHAnsi" w:cstheme="minorBidi"/>
        </w:rPr>
      </w:pPr>
    </w:p>
    <w:p w14:paraId="76FE6C75" w14:textId="77777777" w:rsidR="006A46E8" w:rsidRDefault="006A46E8" w:rsidP="00702634">
      <w:pPr>
        <w:rPr>
          <w:rFonts w:asciiTheme="minorHAnsi" w:hAnsiTheme="minorHAnsi" w:cstheme="minorBidi"/>
        </w:rPr>
      </w:pPr>
    </w:p>
    <w:p w14:paraId="5271721C" w14:textId="77777777" w:rsidR="006A46E8" w:rsidRDefault="006A46E8" w:rsidP="00702634">
      <w:pPr>
        <w:rPr>
          <w:rFonts w:asciiTheme="minorHAnsi" w:hAnsiTheme="minorHAnsi" w:cstheme="minorBidi"/>
        </w:rPr>
      </w:pPr>
    </w:p>
    <w:p w14:paraId="53C28641" w14:textId="749257AF" w:rsidR="00702634" w:rsidRPr="00CD5AD1" w:rsidRDefault="00702634" w:rsidP="00702634">
      <w:pPr>
        <w:rPr>
          <w:rFonts w:asciiTheme="minorHAnsi" w:hAnsiTheme="minorHAnsi" w:cstheme="minorBidi"/>
        </w:rPr>
      </w:pPr>
      <w:r w:rsidRPr="00702634">
        <w:rPr>
          <w:rFonts w:asciiTheme="minorHAnsi" w:hAnsiTheme="minorHAnsi" w:cstheme="minorBidi"/>
        </w:rPr>
        <w:t xml:space="preserve">The table below shows the results </w:t>
      </w:r>
      <w:r w:rsidR="006A46E8">
        <w:rPr>
          <w:rFonts w:asciiTheme="minorHAnsi" w:hAnsiTheme="minorHAnsi" w:cstheme="minorBidi"/>
        </w:rPr>
        <w:t>using</w:t>
      </w:r>
      <w:r w:rsidRPr="00702634">
        <w:rPr>
          <w:rFonts w:asciiTheme="minorHAnsi" w:hAnsiTheme="minorHAnsi" w:cstheme="minorBidi"/>
        </w:rPr>
        <w:t xml:space="preserve"> TP01</w:t>
      </w:r>
      <w:r w:rsidR="006A46E8">
        <w:rPr>
          <w:rFonts w:asciiTheme="minorHAnsi" w:hAnsiTheme="minorHAnsi" w:cstheme="minorBidi"/>
        </w:rPr>
        <w:t xml:space="preserve"> as an example.  TP01 asks for ‘o</w:t>
      </w:r>
      <w:r w:rsidR="00620087">
        <w:rPr>
          <w:rFonts w:asciiTheme="minorHAnsi" w:hAnsiTheme="minorHAnsi" w:cstheme="minorBidi"/>
        </w:rPr>
        <w:t xml:space="preserve">verall </w:t>
      </w:r>
      <w:r w:rsidR="006A46E8">
        <w:rPr>
          <w:rFonts w:asciiTheme="minorHAnsi" w:hAnsiTheme="minorHAnsi" w:cstheme="minorBidi"/>
        </w:rPr>
        <w:t>s</w:t>
      </w:r>
      <w:r w:rsidR="00620087">
        <w:rPr>
          <w:rFonts w:asciiTheme="minorHAnsi" w:hAnsiTheme="minorHAnsi" w:cstheme="minorBidi"/>
        </w:rPr>
        <w:t xml:space="preserve">atisfaction with </w:t>
      </w:r>
      <w:r w:rsidR="00D97201">
        <w:rPr>
          <w:rFonts w:asciiTheme="minorHAnsi" w:hAnsiTheme="minorHAnsi" w:cstheme="minorBidi"/>
        </w:rPr>
        <w:t>service provided by your landlord</w:t>
      </w:r>
      <w:r w:rsidR="006A46E8">
        <w:rPr>
          <w:rFonts w:asciiTheme="minorHAnsi" w:hAnsiTheme="minorHAnsi" w:cstheme="minorBidi"/>
        </w:rPr>
        <w:t>’.</w:t>
      </w:r>
    </w:p>
    <w:p w14:paraId="4FD46396" w14:textId="77777777" w:rsidR="006926B8" w:rsidRPr="00CD5AD1" w:rsidRDefault="006926B8" w:rsidP="00F924FD">
      <w:pPr>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B633A2" w:rsidRPr="00CD5AD1" w14:paraId="4D655707" w14:textId="77777777" w:rsidTr="00B633A2">
        <w:tc>
          <w:tcPr>
            <w:tcW w:w="4508" w:type="dxa"/>
          </w:tcPr>
          <w:p w14:paraId="594090EB" w14:textId="430E448E" w:rsidR="00B633A2" w:rsidRPr="00CD5AD1" w:rsidRDefault="00B633A2" w:rsidP="00F924FD">
            <w:pPr>
              <w:rPr>
                <w:rFonts w:asciiTheme="minorHAnsi" w:hAnsiTheme="minorHAnsi" w:cstheme="minorHAnsi"/>
                <w:b/>
                <w:bCs/>
                <w:sz w:val="22"/>
                <w:szCs w:val="22"/>
              </w:rPr>
            </w:pPr>
            <w:r w:rsidRPr="00CD5AD1">
              <w:rPr>
                <w:rFonts w:asciiTheme="minorHAnsi" w:hAnsiTheme="minorHAnsi" w:cstheme="minorHAnsi"/>
                <w:b/>
                <w:bCs/>
                <w:sz w:val="22"/>
                <w:szCs w:val="22"/>
              </w:rPr>
              <w:t>Survey Method</w:t>
            </w:r>
          </w:p>
        </w:tc>
        <w:tc>
          <w:tcPr>
            <w:tcW w:w="4508" w:type="dxa"/>
          </w:tcPr>
          <w:p w14:paraId="1D046A0E" w14:textId="74FDFDCE" w:rsidR="00B633A2" w:rsidRPr="00CD5AD1" w:rsidRDefault="00D036FA" w:rsidP="00F924FD">
            <w:pPr>
              <w:rPr>
                <w:rFonts w:asciiTheme="minorHAnsi" w:hAnsiTheme="minorHAnsi" w:cstheme="minorHAnsi"/>
                <w:b/>
                <w:bCs/>
                <w:sz w:val="22"/>
                <w:szCs w:val="22"/>
              </w:rPr>
            </w:pPr>
            <w:r w:rsidRPr="00CD5AD1">
              <w:rPr>
                <w:rFonts w:asciiTheme="minorHAnsi" w:hAnsiTheme="minorHAnsi" w:cstheme="minorHAnsi"/>
                <w:b/>
                <w:bCs/>
                <w:sz w:val="22"/>
                <w:szCs w:val="22"/>
              </w:rPr>
              <w:t>Proportion of tenants satisfied (TP01)</w:t>
            </w:r>
          </w:p>
        </w:tc>
      </w:tr>
      <w:tr w:rsidR="00B633A2" w:rsidRPr="00CD5AD1" w14:paraId="73E7AB53" w14:textId="77777777" w:rsidTr="00B633A2">
        <w:tc>
          <w:tcPr>
            <w:tcW w:w="4508" w:type="dxa"/>
          </w:tcPr>
          <w:p w14:paraId="43C88D5F" w14:textId="4EE3CA63" w:rsidR="00B633A2" w:rsidRPr="00CD5AD1" w:rsidRDefault="00D036FA" w:rsidP="00F924FD">
            <w:pPr>
              <w:rPr>
                <w:rFonts w:asciiTheme="minorHAnsi" w:hAnsiTheme="minorHAnsi" w:cstheme="minorHAnsi"/>
                <w:sz w:val="22"/>
                <w:szCs w:val="22"/>
              </w:rPr>
            </w:pPr>
            <w:r w:rsidRPr="00CD5AD1">
              <w:rPr>
                <w:rFonts w:asciiTheme="minorHAnsi" w:hAnsiTheme="minorHAnsi" w:cstheme="minorHAnsi"/>
                <w:sz w:val="22"/>
                <w:szCs w:val="22"/>
              </w:rPr>
              <w:t>Face to face</w:t>
            </w:r>
          </w:p>
        </w:tc>
        <w:tc>
          <w:tcPr>
            <w:tcW w:w="4508" w:type="dxa"/>
          </w:tcPr>
          <w:p w14:paraId="7FE44994" w14:textId="64E92E45" w:rsidR="00B633A2" w:rsidRPr="00CD5AD1" w:rsidRDefault="00B46EEC" w:rsidP="00F924FD">
            <w:pPr>
              <w:rPr>
                <w:rFonts w:asciiTheme="minorHAnsi" w:hAnsiTheme="minorHAnsi" w:cstheme="minorHAnsi"/>
                <w:sz w:val="22"/>
                <w:szCs w:val="22"/>
              </w:rPr>
            </w:pPr>
            <w:r w:rsidRPr="00CD5AD1">
              <w:rPr>
                <w:rFonts w:asciiTheme="minorHAnsi" w:hAnsiTheme="minorHAnsi" w:cstheme="minorHAnsi"/>
                <w:sz w:val="22"/>
                <w:szCs w:val="22"/>
              </w:rPr>
              <w:t>9</w:t>
            </w:r>
            <w:r w:rsidR="00865A70" w:rsidRPr="00CD5AD1">
              <w:rPr>
                <w:rFonts w:asciiTheme="minorHAnsi" w:hAnsiTheme="minorHAnsi" w:cstheme="minorHAnsi"/>
                <w:sz w:val="22"/>
                <w:szCs w:val="22"/>
              </w:rPr>
              <w:t>7</w:t>
            </w:r>
            <w:r w:rsidR="0073781B" w:rsidRPr="00CD5AD1">
              <w:rPr>
                <w:rFonts w:asciiTheme="minorHAnsi" w:hAnsiTheme="minorHAnsi" w:cstheme="minorHAnsi"/>
                <w:sz w:val="22"/>
                <w:szCs w:val="22"/>
              </w:rPr>
              <w:t>%</w:t>
            </w:r>
          </w:p>
        </w:tc>
      </w:tr>
      <w:tr w:rsidR="00B633A2" w:rsidRPr="00CD5AD1" w14:paraId="5DCECF86" w14:textId="77777777" w:rsidTr="00B633A2">
        <w:tc>
          <w:tcPr>
            <w:tcW w:w="4508" w:type="dxa"/>
          </w:tcPr>
          <w:p w14:paraId="19A47309" w14:textId="1705C98F" w:rsidR="00B633A2" w:rsidRPr="00CD5AD1" w:rsidRDefault="00D036FA" w:rsidP="00F924FD">
            <w:pPr>
              <w:rPr>
                <w:rFonts w:asciiTheme="minorHAnsi" w:hAnsiTheme="minorHAnsi" w:cstheme="minorHAnsi"/>
                <w:sz w:val="22"/>
                <w:szCs w:val="22"/>
              </w:rPr>
            </w:pPr>
            <w:r w:rsidRPr="00CD5AD1">
              <w:rPr>
                <w:rFonts w:asciiTheme="minorHAnsi" w:hAnsiTheme="minorHAnsi" w:cstheme="minorHAnsi"/>
                <w:sz w:val="22"/>
                <w:szCs w:val="22"/>
              </w:rPr>
              <w:t>Telephone</w:t>
            </w:r>
          </w:p>
        </w:tc>
        <w:tc>
          <w:tcPr>
            <w:tcW w:w="4508" w:type="dxa"/>
          </w:tcPr>
          <w:p w14:paraId="54DDD8B1" w14:textId="42BB3B55" w:rsidR="00B633A2" w:rsidRPr="00CD5AD1" w:rsidRDefault="00865A70" w:rsidP="00F924FD">
            <w:pPr>
              <w:rPr>
                <w:rFonts w:asciiTheme="minorHAnsi" w:hAnsiTheme="minorHAnsi" w:cstheme="minorHAnsi"/>
                <w:sz w:val="22"/>
                <w:szCs w:val="22"/>
              </w:rPr>
            </w:pPr>
            <w:r w:rsidRPr="00CD5AD1">
              <w:rPr>
                <w:rFonts w:asciiTheme="minorHAnsi" w:hAnsiTheme="minorHAnsi" w:cstheme="minorHAnsi"/>
                <w:sz w:val="22"/>
                <w:szCs w:val="22"/>
              </w:rPr>
              <w:t>79</w:t>
            </w:r>
            <w:r w:rsidR="0073781B" w:rsidRPr="00CD5AD1">
              <w:rPr>
                <w:rFonts w:asciiTheme="minorHAnsi" w:hAnsiTheme="minorHAnsi" w:cstheme="minorHAnsi"/>
                <w:sz w:val="22"/>
                <w:szCs w:val="22"/>
              </w:rPr>
              <w:t>%</w:t>
            </w:r>
          </w:p>
        </w:tc>
      </w:tr>
      <w:tr w:rsidR="00B633A2" w:rsidRPr="00CD5AD1" w14:paraId="15051214" w14:textId="77777777" w:rsidTr="00B633A2">
        <w:tc>
          <w:tcPr>
            <w:tcW w:w="4508" w:type="dxa"/>
          </w:tcPr>
          <w:p w14:paraId="6B6880A7" w14:textId="453429AA" w:rsidR="00B633A2" w:rsidRPr="00CD5AD1" w:rsidRDefault="00673C7D" w:rsidP="00F924FD">
            <w:pPr>
              <w:rPr>
                <w:rFonts w:asciiTheme="minorHAnsi" w:hAnsiTheme="minorHAnsi" w:cstheme="minorHAnsi"/>
                <w:sz w:val="22"/>
                <w:szCs w:val="22"/>
              </w:rPr>
            </w:pPr>
            <w:r w:rsidRPr="00CD5AD1">
              <w:rPr>
                <w:rFonts w:asciiTheme="minorHAnsi" w:hAnsiTheme="minorHAnsi" w:cstheme="minorHAnsi"/>
                <w:sz w:val="22"/>
                <w:szCs w:val="22"/>
              </w:rPr>
              <w:t>Online</w:t>
            </w:r>
          </w:p>
        </w:tc>
        <w:tc>
          <w:tcPr>
            <w:tcW w:w="4508" w:type="dxa"/>
          </w:tcPr>
          <w:p w14:paraId="231C7018" w14:textId="0963031D" w:rsidR="00B633A2" w:rsidRPr="00CD5AD1" w:rsidRDefault="00865A70" w:rsidP="00F924FD">
            <w:pPr>
              <w:rPr>
                <w:rFonts w:asciiTheme="minorHAnsi" w:hAnsiTheme="minorHAnsi" w:cstheme="minorHAnsi"/>
                <w:sz w:val="22"/>
                <w:szCs w:val="22"/>
              </w:rPr>
            </w:pPr>
            <w:r w:rsidRPr="00CD5AD1">
              <w:rPr>
                <w:rFonts w:asciiTheme="minorHAnsi" w:hAnsiTheme="minorHAnsi" w:cstheme="minorHAnsi"/>
                <w:sz w:val="22"/>
                <w:szCs w:val="22"/>
              </w:rPr>
              <w:t>60</w:t>
            </w:r>
            <w:r w:rsidR="00D03CAA" w:rsidRPr="00CD5AD1">
              <w:rPr>
                <w:rFonts w:asciiTheme="minorHAnsi" w:hAnsiTheme="minorHAnsi" w:cstheme="minorHAnsi"/>
                <w:sz w:val="22"/>
                <w:szCs w:val="22"/>
              </w:rPr>
              <w:t>%</w:t>
            </w:r>
          </w:p>
        </w:tc>
      </w:tr>
    </w:tbl>
    <w:p w14:paraId="59EE72C0" w14:textId="77777777" w:rsidR="008562F4" w:rsidRPr="008445D8" w:rsidRDefault="008562F4" w:rsidP="008562F4">
      <w:pPr>
        <w:spacing w:after="160" w:line="259" w:lineRule="auto"/>
        <w:rPr>
          <w:rFonts w:asciiTheme="minorHAnsi" w:hAnsiTheme="minorHAnsi" w:cstheme="minorHAnsi"/>
          <w:sz w:val="6"/>
          <w:szCs w:val="2"/>
        </w:rPr>
      </w:pPr>
    </w:p>
    <w:p w14:paraId="4B293182" w14:textId="755E2207" w:rsidR="008562F4" w:rsidRPr="008562F4" w:rsidRDefault="008562F4" w:rsidP="008562F4">
      <w:pPr>
        <w:spacing w:after="160" w:line="259" w:lineRule="auto"/>
        <w:rPr>
          <w:rFonts w:asciiTheme="minorHAnsi" w:hAnsiTheme="minorHAnsi" w:cstheme="minorHAnsi"/>
        </w:rPr>
      </w:pPr>
      <w:r w:rsidRPr="008562F4">
        <w:rPr>
          <w:rFonts w:asciiTheme="minorHAnsi" w:hAnsiTheme="minorHAnsi" w:cstheme="minorHAnsi"/>
        </w:rPr>
        <w:t>These differences show that results can change depending on how the survey is carried out.</w:t>
      </w:r>
    </w:p>
    <w:p w14:paraId="3DA31B57" w14:textId="7502F37D" w:rsidR="008562F4" w:rsidRPr="008562F4" w:rsidRDefault="008562F4" w:rsidP="008562F4">
      <w:pPr>
        <w:spacing w:after="160" w:line="259" w:lineRule="auto"/>
        <w:rPr>
          <w:rFonts w:asciiTheme="minorHAnsi" w:hAnsiTheme="minorHAnsi" w:cstheme="minorHAnsi"/>
        </w:rPr>
      </w:pPr>
      <w:r w:rsidRPr="008562F4">
        <w:rPr>
          <w:rFonts w:asciiTheme="minorHAnsi" w:hAnsiTheme="minorHAnsi" w:cstheme="minorHAnsi"/>
        </w:rPr>
        <w:t>Some possible reasons for this include:</w:t>
      </w:r>
    </w:p>
    <w:p w14:paraId="355CAE2D" w14:textId="77777777" w:rsidR="008562F4" w:rsidRPr="008562F4" w:rsidRDefault="008562F4" w:rsidP="008445D8">
      <w:pPr>
        <w:pStyle w:val="ListParagraph"/>
        <w:numPr>
          <w:ilvl w:val="0"/>
          <w:numId w:val="10"/>
        </w:numPr>
        <w:spacing w:after="160"/>
        <w:rPr>
          <w:rFonts w:asciiTheme="minorHAnsi" w:hAnsiTheme="minorHAnsi" w:cstheme="minorHAnsi"/>
        </w:rPr>
      </w:pPr>
      <w:r w:rsidRPr="008562F4">
        <w:rPr>
          <w:rFonts w:asciiTheme="minorHAnsi" w:hAnsiTheme="minorHAnsi" w:cstheme="minorHAnsi"/>
        </w:rPr>
        <w:t>Different types of tenants may take part depending on the survey method</w:t>
      </w:r>
    </w:p>
    <w:p w14:paraId="3F92B875" w14:textId="77777777" w:rsidR="008562F4" w:rsidRPr="008562F4" w:rsidRDefault="008562F4" w:rsidP="008445D8">
      <w:pPr>
        <w:pStyle w:val="ListParagraph"/>
        <w:numPr>
          <w:ilvl w:val="0"/>
          <w:numId w:val="10"/>
        </w:numPr>
        <w:spacing w:after="160"/>
        <w:rPr>
          <w:rFonts w:asciiTheme="minorHAnsi" w:hAnsiTheme="minorHAnsi" w:cstheme="minorHAnsi"/>
        </w:rPr>
      </w:pPr>
      <w:r w:rsidRPr="008562F4">
        <w:rPr>
          <w:rFonts w:asciiTheme="minorHAnsi" w:hAnsiTheme="minorHAnsi" w:cstheme="minorHAnsi"/>
        </w:rPr>
        <w:t>People may answer differently when speaking to someone in person</w:t>
      </w:r>
    </w:p>
    <w:p w14:paraId="7C5DEC44" w14:textId="6018FD6F" w:rsidR="008562F4" w:rsidRPr="008562F4" w:rsidRDefault="008562F4" w:rsidP="008445D8">
      <w:pPr>
        <w:pStyle w:val="ListParagraph"/>
        <w:numPr>
          <w:ilvl w:val="0"/>
          <w:numId w:val="10"/>
        </w:numPr>
        <w:spacing w:after="160"/>
        <w:rPr>
          <w:rFonts w:asciiTheme="minorHAnsi" w:hAnsiTheme="minorHAnsi" w:cstheme="minorHAnsi"/>
        </w:rPr>
      </w:pPr>
      <w:r w:rsidRPr="008562F4">
        <w:rPr>
          <w:rFonts w:asciiTheme="minorHAnsi" w:hAnsiTheme="minorHAnsi" w:cstheme="minorHAnsi"/>
        </w:rPr>
        <w:t>Online surveys are often completed by tenants who feel strongly, either positively or negatively</w:t>
      </w:r>
    </w:p>
    <w:p w14:paraId="2A111473" w14:textId="5CB54317" w:rsidR="000C6F98" w:rsidRDefault="008562F4" w:rsidP="008562F4">
      <w:pPr>
        <w:spacing w:after="160" w:line="259" w:lineRule="auto"/>
        <w:rPr>
          <w:rFonts w:asciiTheme="minorHAnsi" w:hAnsiTheme="minorHAnsi" w:cstheme="minorHAnsi"/>
        </w:rPr>
      </w:pPr>
      <w:r w:rsidRPr="008562F4">
        <w:rPr>
          <w:rFonts w:asciiTheme="minorHAnsi" w:hAnsiTheme="minorHAnsi" w:cstheme="minorHAnsi"/>
        </w:rPr>
        <w:t xml:space="preserve">To reduce </w:t>
      </w:r>
      <w:r w:rsidR="0024091A">
        <w:rPr>
          <w:rFonts w:asciiTheme="minorHAnsi" w:hAnsiTheme="minorHAnsi" w:cstheme="minorHAnsi"/>
        </w:rPr>
        <w:t xml:space="preserve">the impact of </w:t>
      </w:r>
      <w:r w:rsidRPr="008562F4">
        <w:rPr>
          <w:rFonts w:asciiTheme="minorHAnsi" w:hAnsiTheme="minorHAnsi" w:cstheme="minorHAnsi"/>
        </w:rPr>
        <w:t>these differences, we used a mix of survey methods. This helps us reach a wider range of tenants. We also checked the results regularly throughout the year</w:t>
      </w:r>
    </w:p>
    <w:p w14:paraId="72B26FDF" w14:textId="665EF579" w:rsidR="006775B9" w:rsidRDefault="008562F4" w:rsidP="00AC393D">
      <w:pPr>
        <w:spacing w:after="160" w:line="259" w:lineRule="auto"/>
        <w:rPr>
          <w:rFonts w:asciiTheme="minorHAnsi" w:hAnsiTheme="minorHAnsi" w:cstheme="minorHAnsi"/>
        </w:rPr>
      </w:pPr>
      <w:r w:rsidRPr="008562F4">
        <w:rPr>
          <w:rFonts w:asciiTheme="minorHAnsi" w:hAnsiTheme="minorHAnsi" w:cstheme="minorHAnsi"/>
        </w:rPr>
        <w:t>While results vary by survey method, the overall findings are based on a large and varied group of tenants and reflect feedback from different ways of taking part.</w:t>
      </w:r>
    </w:p>
    <w:p w14:paraId="75DE9B6C" w14:textId="77777777" w:rsidR="002B2F14" w:rsidRPr="002B2F14" w:rsidRDefault="002B2F14" w:rsidP="002B2F14">
      <w:pPr>
        <w:rPr>
          <w:rFonts w:asciiTheme="minorHAnsi" w:hAnsiTheme="minorHAnsi" w:cstheme="minorBidi"/>
          <w:u w:val="single"/>
        </w:rPr>
      </w:pPr>
      <w:r w:rsidRPr="002B2F14">
        <w:rPr>
          <w:rFonts w:asciiTheme="minorHAnsi" w:hAnsiTheme="minorHAnsi" w:cstheme="minorBidi"/>
          <w:u w:val="single"/>
        </w:rPr>
        <w:t>How the survey was carried out and checked</w:t>
      </w:r>
    </w:p>
    <w:p w14:paraId="77FD7EE2" w14:textId="77777777" w:rsidR="002B2F14" w:rsidRPr="008445D8" w:rsidRDefault="002B2F14" w:rsidP="002B2F14">
      <w:pPr>
        <w:rPr>
          <w:rFonts w:asciiTheme="minorHAnsi" w:hAnsiTheme="minorHAnsi" w:cstheme="minorBidi"/>
          <w:sz w:val="14"/>
          <w:szCs w:val="10"/>
        </w:rPr>
      </w:pPr>
    </w:p>
    <w:p w14:paraId="52F99FA8" w14:textId="77777777" w:rsidR="002B2F14" w:rsidRDefault="002B2F14" w:rsidP="002B2F14">
      <w:pPr>
        <w:rPr>
          <w:rFonts w:asciiTheme="minorHAnsi" w:hAnsiTheme="minorHAnsi" w:cstheme="minorBidi"/>
        </w:rPr>
      </w:pPr>
      <w:r w:rsidRPr="002B2F14">
        <w:rPr>
          <w:rFonts w:asciiTheme="minorHAnsi" w:hAnsiTheme="minorHAnsi" w:cstheme="minorBidi"/>
        </w:rPr>
        <w:t>We carried out the survey in two ways:</w:t>
      </w:r>
    </w:p>
    <w:p w14:paraId="4B4E14B8" w14:textId="77777777" w:rsidR="000C6F98" w:rsidRPr="008445D8" w:rsidRDefault="000C6F98" w:rsidP="002B2F14">
      <w:pPr>
        <w:rPr>
          <w:rFonts w:asciiTheme="minorHAnsi" w:hAnsiTheme="minorHAnsi" w:cstheme="minorBidi"/>
          <w:sz w:val="16"/>
          <w:szCs w:val="12"/>
        </w:rPr>
      </w:pPr>
    </w:p>
    <w:p w14:paraId="314B5EC4" w14:textId="77777777" w:rsidR="002B2F14" w:rsidRPr="002B2F14" w:rsidRDefault="002B2F14" w:rsidP="002B2F14">
      <w:pPr>
        <w:pStyle w:val="ListParagraph"/>
        <w:numPr>
          <w:ilvl w:val="0"/>
          <w:numId w:val="12"/>
        </w:numPr>
        <w:rPr>
          <w:rFonts w:asciiTheme="minorHAnsi" w:hAnsiTheme="minorHAnsi" w:cstheme="minorBidi"/>
        </w:rPr>
      </w:pPr>
      <w:r w:rsidRPr="002B2F14">
        <w:rPr>
          <w:rFonts w:asciiTheme="minorHAnsi" w:hAnsiTheme="minorHAnsi" w:cstheme="minorBidi"/>
        </w:rPr>
        <w:t>By our team at Stockport Homes Group</w:t>
      </w:r>
    </w:p>
    <w:p w14:paraId="41E648EA" w14:textId="77A49CE5" w:rsidR="002B2F14" w:rsidRPr="00AC393D" w:rsidRDefault="002B2F14" w:rsidP="002B2F14">
      <w:pPr>
        <w:pStyle w:val="ListParagraph"/>
        <w:numPr>
          <w:ilvl w:val="0"/>
          <w:numId w:val="12"/>
        </w:numPr>
        <w:rPr>
          <w:rFonts w:asciiTheme="minorHAnsi" w:hAnsiTheme="minorHAnsi" w:cstheme="minorBidi"/>
        </w:rPr>
      </w:pPr>
      <w:r w:rsidRPr="002B2F14">
        <w:rPr>
          <w:rFonts w:asciiTheme="minorHAnsi" w:hAnsiTheme="minorHAnsi" w:cstheme="minorBidi"/>
        </w:rPr>
        <w:t>By an external company called Pexel, who carried out some surveys by phone</w:t>
      </w:r>
    </w:p>
    <w:p w14:paraId="12955181" w14:textId="77777777" w:rsidR="002B2F14" w:rsidRDefault="002B2F14" w:rsidP="002B2F14">
      <w:pPr>
        <w:rPr>
          <w:rFonts w:asciiTheme="minorHAnsi" w:hAnsiTheme="minorHAnsi" w:cstheme="minorBidi"/>
        </w:rPr>
      </w:pPr>
    </w:p>
    <w:p w14:paraId="7C02FC62" w14:textId="3A881B8A" w:rsidR="002B2F14" w:rsidRDefault="002B2F14" w:rsidP="002B2F14">
      <w:pPr>
        <w:rPr>
          <w:rFonts w:asciiTheme="minorHAnsi" w:hAnsiTheme="minorHAnsi" w:cstheme="minorBidi"/>
          <w:u w:val="single"/>
        </w:rPr>
      </w:pPr>
      <w:r w:rsidRPr="002B2F14">
        <w:rPr>
          <w:rFonts w:asciiTheme="minorHAnsi" w:hAnsiTheme="minorHAnsi" w:cstheme="minorBidi"/>
          <w:u w:val="single"/>
        </w:rPr>
        <w:t>To make sure the survey was fair and high quality:</w:t>
      </w:r>
    </w:p>
    <w:p w14:paraId="5DDF304D" w14:textId="77777777" w:rsidR="00AC393D" w:rsidRPr="008445D8" w:rsidRDefault="00AC393D" w:rsidP="002B2F14">
      <w:pPr>
        <w:rPr>
          <w:rFonts w:asciiTheme="minorHAnsi" w:hAnsiTheme="minorHAnsi" w:cstheme="minorBidi"/>
          <w:sz w:val="14"/>
          <w:szCs w:val="10"/>
          <w:u w:val="single"/>
        </w:rPr>
      </w:pPr>
    </w:p>
    <w:p w14:paraId="19992D32" w14:textId="77777777" w:rsidR="002B2F14" w:rsidRPr="002B2F14" w:rsidRDefault="002B2F14" w:rsidP="002B2F14">
      <w:pPr>
        <w:pStyle w:val="ListParagraph"/>
        <w:numPr>
          <w:ilvl w:val="0"/>
          <w:numId w:val="13"/>
        </w:numPr>
        <w:rPr>
          <w:rFonts w:asciiTheme="minorHAnsi" w:hAnsiTheme="minorHAnsi" w:cstheme="minorBidi"/>
        </w:rPr>
      </w:pPr>
      <w:r w:rsidRPr="002B2F14">
        <w:rPr>
          <w:rFonts w:asciiTheme="minorHAnsi" w:hAnsiTheme="minorHAnsi" w:cstheme="minorBidi"/>
        </w:rPr>
        <w:t>We used the same questions and introductions in every survey</w:t>
      </w:r>
    </w:p>
    <w:p w14:paraId="246798BA" w14:textId="77777777" w:rsidR="002B2F14" w:rsidRPr="002B2F14" w:rsidRDefault="002B2F14" w:rsidP="002B2F14">
      <w:pPr>
        <w:pStyle w:val="ListParagraph"/>
        <w:numPr>
          <w:ilvl w:val="0"/>
          <w:numId w:val="13"/>
        </w:numPr>
        <w:rPr>
          <w:rFonts w:asciiTheme="minorHAnsi" w:hAnsiTheme="minorHAnsi" w:cstheme="minorBidi"/>
        </w:rPr>
      </w:pPr>
      <w:r w:rsidRPr="002B2F14">
        <w:rPr>
          <w:rFonts w:asciiTheme="minorHAnsi" w:hAnsiTheme="minorHAnsi" w:cstheme="minorBidi"/>
        </w:rPr>
        <w:t>Staff and interviewers were trained to follow the correct process</w:t>
      </w:r>
    </w:p>
    <w:p w14:paraId="355AEEF0" w14:textId="77777777" w:rsidR="002B2F14" w:rsidRPr="002B2F14" w:rsidRDefault="002B2F14" w:rsidP="002B2F14">
      <w:pPr>
        <w:pStyle w:val="ListParagraph"/>
        <w:numPr>
          <w:ilvl w:val="0"/>
          <w:numId w:val="13"/>
        </w:numPr>
        <w:rPr>
          <w:rFonts w:asciiTheme="minorHAnsi" w:hAnsiTheme="minorHAnsi" w:cstheme="minorBidi"/>
        </w:rPr>
      </w:pPr>
      <w:r w:rsidRPr="002B2F14">
        <w:rPr>
          <w:rFonts w:asciiTheme="minorHAnsi" w:hAnsiTheme="minorHAnsi" w:cstheme="minorBidi"/>
        </w:rPr>
        <w:t>We made sure the same tenant could not be counted more than once</w:t>
      </w:r>
    </w:p>
    <w:p w14:paraId="7C8D3F15" w14:textId="77777777" w:rsidR="002B2F14" w:rsidRPr="002B2F14" w:rsidRDefault="002B2F14" w:rsidP="002B2F14">
      <w:pPr>
        <w:pStyle w:val="ListParagraph"/>
        <w:numPr>
          <w:ilvl w:val="0"/>
          <w:numId w:val="13"/>
        </w:numPr>
        <w:rPr>
          <w:rFonts w:asciiTheme="minorHAnsi" w:hAnsiTheme="minorHAnsi" w:cstheme="minorBidi"/>
        </w:rPr>
      </w:pPr>
      <w:r w:rsidRPr="002B2F14">
        <w:rPr>
          <w:rFonts w:asciiTheme="minorHAnsi" w:hAnsiTheme="minorHAnsi" w:cstheme="minorBidi"/>
        </w:rPr>
        <w:t>We checked responses regularly to make sure they reflected our tenant population</w:t>
      </w:r>
    </w:p>
    <w:p w14:paraId="51B9F6EC" w14:textId="42FF815E" w:rsidR="002B2F14" w:rsidRPr="002B2F14" w:rsidRDefault="00315283" w:rsidP="002B2F14">
      <w:pPr>
        <w:pStyle w:val="ListParagraph"/>
        <w:numPr>
          <w:ilvl w:val="0"/>
          <w:numId w:val="13"/>
        </w:numPr>
        <w:rPr>
          <w:rFonts w:asciiTheme="minorHAnsi" w:hAnsiTheme="minorHAnsi" w:cstheme="minorBidi"/>
        </w:rPr>
      </w:pPr>
      <w:r>
        <w:rPr>
          <w:rFonts w:asciiTheme="minorHAnsi" w:hAnsiTheme="minorHAnsi" w:cstheme="minorBidi"/>
        </w:rPr>
        <w:t xml:space="preserve">We frequently checked that </w:t>
      </w:r>
      <w:r w:rsidR="002B2F14" w:rsidRPr="002B2F14">
        <w:rPr>
          <w:rFonts w:asciiTheme="minorHAnsi" w:hAnsiTheme="minorHAnsi" w:cstheme="minorBidi"/>
        </w:rPr>
        <w:t xml:space="preserve">the results </w:t>
      </w:r>
      <w:r>
        <w:rPr>
          <w:rFonts w:asciiTheme="minorHAnsi" w:hAnsiTheme="minorHAnsi" w:cstheme="minorBidi"/>
        </w:rPr>
        <w:t xml:space="preserve">were </w:t>
      </w:r>
      <w:r w:rsidR="002B2F14" w:rsidRPr="002B2F14">
        <w:rPr>
          <w:rFonts w:asciiTheme="minorHAnsi" w:hAnsiTheme="minorHAnsi" w:cstheme="minorBidi"/>
        </w:rPr>
        <w:t>representative</w:t>
      </w:r>
      <w:r w:rsidR="001947BE">
        <w:rPr>
          <w:rFonts w:asciiTheme="minorHAnsi" w:hAnsiTheme="minorHAnsi" w:cstheme="minorBidi"/>
        </w:rPr>
        <w:t xml:space="preserve"> when compared to the wider tenant base </w:t>
      </w:r>
    </w:p>
    <w:p w14:paraId="2598E13F" w14:textId="77777777" w:rsidR="002B2F14" w:rsidRPr="002B2F14" w:rsidRDefault="002B2F14" w:rsidP="002B2F14">
      <w:pPr>
        <w:rPr>
          <w:rFonts w:asciiTheme="minorHAnsi" w:hAnsiTheme="minorHAnsi" w:cstheme="minorBidi"/>
        </w:rPr>
      </w:pPr>
    </w:p>
    <w:p w14:paraId="7505EF4C" w14:textId="77777777" w:rsidR="002B2F14" w:rsidRDefault="002B2F14" w:rsidP="002B2F14">
      <w:pPr>
        <w:rPr>
          <w:rFonts w:asciiTheme="minorHAnsi" w:hAnsiTheme="minorHAnsi" w:cstheme="minorBidi"/>
        </w:rPr>
      </w:pPr>
      <w:r w:rsidRPr="002B2F14">
        <w:rPr>
          <w:rFonts w:asciiTheme="minorHAnsi" w:hAnsiTheme="minorHAnsi" w:cstheme="minorBidi"/>
        </w:rPr>
        <w:t>We compared survey responses with information about tenants, such as age, gender, ethnicity and property type.</w:t>
      </w:r>
    </w:p>
    <w:p w14:paraId="22A3793D" w14:textId="77777777" w:rsidR="002C556C" w:rsidRPr="002B2F14" w:rsidRDefault="002C556C" w:rsidP="002B2F14">
      <w:pPr>
        <w:rPr>
          <w:rFonts w:asciiTheme="minorHAnsi" w:hAnsiTheme="minorHAnsi" w:cstheme="minorBidi"/>
        </w:rPr>
      </w:pPr>
    </w:p>
    <w:p w14:paraId="41791285" w14:textId="134E24CD" w:rsidR="002B2F14" w:rsidRDefault="002B2F14" w:rsidP="00D66F7E">
      <w:pPr>
        <w:rPr>
          <w:rFonts w:asciiTheme="minorHAnsi" w:hAnsiTheme="minorHAnsi" w:cstheme="minorBidi"/>
        </w:rPr>
      </w:pPr>
      <w:r w:rsidRPr="002B2F14">
        <w:rPr>
          <w:rFonts w:asciiTheme="minorHAnsi" w:hAnsiTheme="minorHAnsi" w:cstheme="minorBidi"/>
        </w:rPr>
        <w:t>This showed that the results broadly reflect our tenant population across these key groups. Please see the table below for more detail.</w:t>
      </w:r>
    </w:p>
    <w:p w14:paraId="610F2D81" w14:textId="77777777" w:rsidR="008445D8" w:rsidRDefault="008445D8" w:rsidP="00D66F7E">
      <w:pPr>
        <w:rPr>
          <w:rFonts w:asciiTheme="minorHAnsi" w:hAnsiTheme="minorHAnsi" w:cstheme="minorBidi"/>
        </w:rPr>
      </w:pPr>
    </w:p>
    <w:p w14:paraId="393191AB" w14:textId="77777777" w:rsidR="008445D8" w:rsidRDefault="008445D8" w:rsidP="00D66F7E">
      <w:pPr>
        <w:rPr>
          <w:rFonts w:asciiTheme="minorHAnsi" w:hAnsiTheme="minorHAnsi" w:cstheme="minorBidi"/>
        </w:rPr>
      </w:pPr>
    </w:p>
    <w:p w14:paraId="59482902" w14:textId="77777777" w:rsidR="008445D8" w:rsidRDefault="008445D8" w:rsidP="00D66F7E">
      <w:pPr>
        <w:rPr>
          <w:rFonts w:asciiTheme="minorHAnsi" w:hAnsiTheme="minorHAnsi" w:cstheme="minorBidi"/>
        </w:rPr>
      </w:pPr>
    </w:p>
    <w:p w14:paraId="2595D28F" w14:textId="77777777" w:rsidR="008445D8" w:rsidRDefault="008445D8" w:rsidP="00D66F7E">
      <w:pPr>
        <w:rPr>
          <w:rFonts w:asciiTheme="minorHAnsi" w:hAnsiTheme="minorHAnsi" w:cstheme="minorBidi"/>
        </w:rPr>
      </w:pPr>
    </w:p>
    <w:p w14:paraId="0FB61F82" w14:textId="77777777" w:rsidR="00CD2701" w:rsidRDefault="00CD2701" w:rsidP="00D66F7E">
      <w:pPr>
        <w:rPr>
          <w:rFonts w:asciiTheme="minorHAnsi" w:hAnsiTheme="minorHAnsi" w:cstheme="minorHAnsi"/>
        </w:rPr>
      </w:pPr>
    </w:p>
    <w:p w14:paraId="09163ACF" w14:textId="77777777" w:rsidR="00680253" w:rsidRDefault="00680253" w:rsidP="00D66F7E">
      <w:pPr>
        <w:rPr>
          <w:rFonts w:asciiTheme="minorHAnsi" w:hAnsiTheme="minorHAnsi" w:cstheme="minorHAnsi"/>
        </w:rPr>
      </w:pPr>
    </w:p>
    <w:p w14:paraId="4BB1BD15" w14:textId="77777777" w:rsidR="00680253" w:rsidRPr="00CD5AD1" w:rsidRDefault="00680253" w:rsidP="00D66F7E">
      <w:pPr>
        <w:rPr>
          <w:rFonts w:asciiTheme="minorHAnsi" w:hAnsiTheme="minorHAnsi" w:cstheme="minorHAnsi"/>
        </w:rPr>
      </w:pPr>
    </w:p>
    <w:tbl>
      <w:tblPr>
        <w:tblW w:w="8781" w:type="dxa"/>
        <w:tblLook w:val="04A0" w:firstRow="1" w:lastRow="0" w:firstColumn="1" w:lastColumn="0" w:noHBand="0" w:noVBand="1"/>
      </w:tblPr>
      <w:tblGrid>
        <w:gridCol w:w="3780"/>
        <w:gridCol w:w="2060"/>
        <w:gridCol w:w="1649"/>
        <w:gridCol w:w="1292"/>
      </w:tblGrid>
      <w:tr w:rsidR="0070207A" w:rsidRPr="00CD5AD1" w14:paraId="43448E79" w14:textId="77777777" w:rsidTr="00CE421F">
        <w:trPr>
          <w:trHeight w:val="300"/>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461CC6B4" w14:textId="77777777" w:rsidR="0070207A" w:rsidRPr="00CD5AD1" w:rsidRDefault="0070207A" w:rsidP="0070207A">
            <w:pPr>
              <w:jc w:val="center"/>
              <w:rPr>
                <w:rFonts w:asciiTheme="minorHAnsi" w:hAnsiTheme="minorHAnsi" w:cstheme="minorHAnsi"/>
                <w:b/>
                <w:bCs/>
                <w:color w:val="000000"/>
                <w:sz w:val="22"/>
                <w:szCs w:val="22"/>
              </w:rPr>
            </w:pPr>
            <w:r w:rsidRPr="00CD5AD1">
              <w:rPr>
                <w:rFonts w:asciiTheme="minorHAnsi" w:hAnsiTheme="minorHAnsi" w:cstheme="minorHAnsi"/>
                <w:b/>
                <w:bCs/>
                <w:color w:val="000000"/>
                <w:sz w:val="22"/>
                <w:szCs w:val="22"/>
              </w:rPr>
              <w:t>Characteristic</w:t>
            </w:r>
          </w:p>
        </w:tc>
        <w:tc>
          <w:tcPr>
            <w:tcW w:w="2060" w:type="dxa"/>
            <w:tcBorders>
              <w:top w:val="single" w:sz="4" w:space="0" w:color="auto"/>
              <w:left w:val="nil"/>
              <w:bottom w:val="single" w:sz="4" w:space="0" w:color="auto"/>
              <w:right w:val="single" w:sz="4" w:space="0" w:color="auto"/>
            </w:tcBorders>
            <w:noWrap/>
            <w:vAlign w:val="bottom"/>
            <w:hideMark/>
          </w:tcPr>
          <w:p w14:paraId="58FFD4B6" w14:textId="77777777" w:rsidR="0070207A" w:rsidRPr="00CD5AD1" w:rsidRDefault="0070207A" w:rsidP="0070207A">
            <w:pPr>
              <w:jc w:val="center"/>
              <w:rPr>
                <w:rFonts w:asciiTheme="minorHAnsi" w:hAnsiTheme="minorHAnsi" w:cstheme="minorHAnsi"/>
                <w:b/>
                <w:bCs/>
                <w:color w:val="000000"/>
                <w:sz w:val="22"/>
                <w:szCs w:val="22"/>
              </w:rPr>
            </w:pPr>
            <w:r w:rsidRPr="00CD5AD1">
              <w:rPr>
                <w:rFonts w:asciiTheme="minorHAnsi" w:hAnsiTheme="minorHAnsi" w:cstheme="minorHAnsi"/>
                <w:b/>
                <w:bCs/>
                <w:color w:val="000000"/>
                <w:sz w:val="22"/>
                <w:szCs w:val="22"/>
              </w:rPr>
              <w:t>Tenant Population</w:t>
            </w:r>
          </w:p>
        </w:tc>
        <w:tc>
          <w:tcPr>
            <w:tcW w:w="1649" w:type="dxa"/>
            <w:tcBorders>
              <w:top w:val="single" w:sz="4" w:space="0" w:color="auto"/>
              <w:left w:val="nil"/>
              <w:bottom w:val="single" w:sz="4" w:space="0" w:color="auto"/>
              <w:right w:val="single" w:sz="4" w:space="0" w:color="auto"/>
            </w:tcBorders>
            <w:noWrap/>
            <w:vAlign w:val="bottom"/>
            <w:hideMark/>
          </w:tcPr>
          <w:p w14:paraId="6990247A" w14:textId="60E585E8" w:rsidR="0070207A" w:rsidRPr="00CD5AD1" w:rsidRDefault="0070207A" w:rsidP="0070207A">
            <w:pPr>
              <w:jc w:val="center"/>
              <w:rPr>
                <w:rFonts w:asciiTheme="minorHAnsi" w:hAnsiTheme="minorHAnsi" w:cstheme="minorHAnsi"/>
                <w:b/>
                <w:bCs/>
                <w:color w:val="000000"/>
                <w:sz w:val="22"/>
                <w:szCs w:val="22"/>
              </w:rPr>
            </w:pPr>
            <w:r w:rsidRPr="00CD5AD1">
              <w:rPr>
                <w:rFonts w:asciiTheme="minorHAnsi" w:hAnsiTheme="minorHAnsi" w:cstheme="minorHAnsi"/>
                <w:b/>
                <w:bCs/>
                <w:color w:val="000000"/>
                <w:sz w:val="22"/>
                <w:szCs w:val="22"/>
              </w:rPr>
              <w:t xml:space="preserve">Survey </w:t>
            </w:r>
            <w:r w:rsidR="00831054" w:rsidRPr="00CD5AD1">
              <w:rPr>
                <w:rFonts w:asciiTheme="minorHAnsi" w:hAnsiTheme="minorHAnsi" w:cstheme="minorHAnsi"/>
                <w:b/>
                <w:bCs/>
                <w:color w:val="000000"/>
                <w:sz w:val="22"/>
                <w:szCs w:val="22"/>
              </w:rPr>
              <w:t>Responses</w:t>
            </w:r>
          </w:p>
        </w:tc>
        <w:tc>
          <w:tcPr>
            <w:tcW w:w="1292" w:type="dxa"/>
            <w:tcBorders>
              <w:top w:val="single" w:sz="4" w:space="0" w:color="auto"/>
              <w:left w:val="nil"/>
              <w:bottom w:val="single" w:sz="4" w:space="0" w:color="auto"/>
              <w:right w:val="single" w:sz="4" w:space="0" w:color="auto"/>
            </w:tcBorders>
            <w:noWrap/>
            <w:vAlign w:val="bottom"/>
            <w:hideMark/>
          </w:tcPr>
          <w:p w14:paraId="59D45EC5" w14:textId="77777777" w:rsidR="0070207A" w:rsidRPr="00CD5AD1" w:rsidRDefault="0070207A" w:rsidP="0070207A">
            <w:pPr>
              <w:jc w:val="center"/>
              <w:rPr>
                <w:rFonts w:asciiTheme="minorHAnsi" w:hAnsiTheme="minorHAnsi" w:cstheme="minorHAnsi"/>
                <w:b/>
                <w:bCs/>
                <w:color w:val="000000"/>
                <w:sz w:val="22"/>
                <w:szCs w:val="22"/>
              </w:rPr>
            </w:pPr>
            <w:r w:rsidRPr="00CD5AD1">
              <w:rPr>
                <w:rFonts w:asciiTheme="minorHAnsi" w:hAnsiTheme="minorHAnsi" w:cstheme="minorHAnsi"/>
                <w:b/>
                <w:bCs/>
                <w:color w:val="000000"/>
                <w:sz w:val="22"/>
                <w:szCs w:val="22"/>
              </w:rPr>
              <w:t>Difference</w:t>
            </w:r>
          </w:p>
        </w:tc>
      </w:tr>
      <w:tr w:rsidR="0070207A" w:rsidRPr="00CD5AD1" w14:paraId="42CC55D6"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381A88CE" w14:textId="77777777" w:rsidR="0070207A" w:rsidRPr="00CD5AD1" w:rsidRDefault="0070207A" w:rsidP="0070207A">
            <w:pPr>
              <w:rPr>
                <w:rFonts w:asciiTheme="minorHAnsi" w:hAnsiTheme="minorHAnsi" w:cstheme="minorHAnsi"/>
                <w:b/>
                <w:bCs/>
                <w:color w:val="000000"/>
                <w:sz w:val="22"/>
                <w:szCs w:val="22"/>
              </w:rPr>
            </w:pPr>
            <w:r w:rsidRPr="00CD5AD1">
              <w:rPr>
                <w:rFonts w:asciiTheme="minorHAnsi" w:hAnsiTheme="minorHAnsi" w:cstheme="minorHAnsi"/>
                <w:b/>
                <w:bCs/>
                <w:color w:val="000000"/>
                <w:sz w:val="22"/>
                <w:szCs w:val="22"/>
              </w:rPr>
              <w:t>Age</w:t>
            </w:r>
          </w:p>
        </w:tc>
        <w:tc>
          <w:tcPr>
            <w:tcW w:w="2060" w:type="dxa"/>
            <w:tcBorders>
              <w:top w:val="nil"/>
              <w:left w:val="nil"/>
              <w:bottom w:val="single" w:sz="4" w:space="0" w:color="auto"/>
              <w:right w:val="single" w:sz="4" w:space="0" w:color="auto"/>
            </w:tcBorders>
            <w:noWrap/>
            <w:vAlign w:val="bottom"/>
            <w:hideMark/>
          </w:tcPr>
          <w:p w14:paraId="6CFF204C" w14:textId="77777777" w:rsidR="0070207A" w:rsidRPr="00CD5AD1" w:rsidRDefault="0070207A" w:rsidP="0070207A">
            <w:pPr>
              <w:rPr>
                <w:rFonts w:asciiTheme="minorHAnsi" w:hAnsiTheme="minorHAnsi" w:cstheme="minorHAnsi"/>
                <w:color w:val="000000"/>
                <w:sz w:val="22"/>
                <w:szCs w:val="22"/>
              </w:rPr>
            </w:pPr>
            <w:r w:rsidRPr="00CD5AD1">
              <w:rPr>
                <w:rFonts w:asciiTheme="minorHAnsi" w:hAnsiTheme="minorHAnsi" w:cstheme="minorHAnsi"/>
                <w:color w:val="000000"/>
                <w:sz w:val="22"/>
                <w:szCs w:val="22"/>
              </w:rPr>
              <w:t> </w:t>
            </w:r>
          </w:p>
        </w:tc>
        <w:tc>
          <w:tcPr>
            <w:tcW w:w="1649" w:type="dxa"/>
            <w:tcBorders>
              <w:top w:val="nil"/>
              <w:left w:val="nil"/>
              <w:bottom w:val="single" w:sz="4" w:space="0" w:color="auto"/>
              <w:right w:val="single" w:sz="4" w:space="0" w:color="auto"/>
            </w:tcBorders>
            <w:noWrap/>
            <w:vAlign w:val="bottom"/>
            <w:hideMark/>
          </w:tcPr>
          <w:p w14:paraId="1286FF2B" w14:textId="77777777" w:rsidR="0070207A" w:rsidRPr="00CD5AD1" w:rsidRDefault="0070207A" w:rsidP="0070207A">
            <w:pPr>
              <w:rPr>
                <w:rFonts w:asciiTheme="minorHAnsi" w:hAnsiTheme="minorHAnsi" w:cstheme="minorHAnsi"/>
                <w:color w:val="000000"/>
                <w:sz w:val="22"/>
                <w:szCs w:val="22"/>
              </w:rPr>
            </w:pPr>
            <w:r w:rsidRPr="00CD5AD1">
              <w:rPr>
                <w:rFonts w:asciiTheme="minorHAnsi" w:hAnsiTheme="minorHAnsi" w:cstheme="minorHAnsi"/>
                <w:color w:val="000000"/>
                <w:sz w:val="22"/>
                <w:szCs w:val="22"/>
              </w:rPr>
              <w:t> </w:t>
            </w:r>
          </w:p>
        </w:tc>
        <w:tc>
          <w:tcPr>
            <w:tcW w:w="1292" w:type="dxa"/>
            <w:tcBorders>
              <w:top w:val="nil"/>
              <w:left w:val="nil"/>
              <w:bottom w:val="single" w:sz="4" w:space="0" w:color="auto"/>
              <w:right w:val="single" w:sz="4" w:space="0" w:color="auto"/>
            </w:tcBorders>
            <w:noWrap/>
            <w:vAlign w:val="bottom"/>
            <w:hideMark/>
          </w:tcPr>
          <w:p w14:paraId="5FF7DC53" w14:textId="77777777" w:rsidR="0070207A" w:rsidRPr="00CD5AD1" w:rsidRDefault="0070207A" w:rsidP="0070207A">
            <w:pPr>
              <w:rPr>
                <w:rFonts w:asciiTheme="minorHAnsi" w:hAnsiTheme="minorHAnsi" w:cstheme="minorHAnsi"/>
                <w:color w:val="000000"/>
                <w:sz w:val="22"/>
                <w:szCs w:val="22"/>
              </w:rPr>
            </w:pPr>
            <w:r w:rsidRPr="00CD5AD1">
              <w:rPr>
                <w:rFonts w:asciiTheme="minorHAnsi" w:hAnsiTheme="minorHAnsi" w:cstheme="minorHAnsi"/>
                <w:color w:val="000000"/>
                <w:sz w:val="22"/>
                <w:szCs w:val="22"/>
              </w:rPr>
              <w:t> </w:t>
            </w:r>
          </w:p>
        </w:tc>
      </w:tr>
      <w:tr w:rsidR="00CD5AD1" w:rsidRPr="00CD5AD1" w14:paraId="0E798C65"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3405CBFC" w14:textId="7F323E37" w:rsidR="00CD5AD1" w:rsidRPr="00CD5AD1" w:rsidRDefault="00CD5AD1" w:rsidP="00CD5AD1">
            <w:pPr>
              <w:rPr>
                <w:rFonts w:asciiTheme="minorHAnsi" w:hAnsiTheme="minorHAnsi" w:cstheme="minorHAnsi"/>
                <w:color w:val="000000"/>
                <w:sz w:val="22"/>
                <w:szCs w:val="22"/>
              </w:rPr>
            </w:pPr>
            <w:r w:rsidRPr="00CD5AD1">
              <w:rPr>
                <w:rFonts w:asciiTheme="minorHAnsi" w:hAnsiTheme="minorHAnsi" w:cstheme="minorHAnsi"/>
                <w:sz w:val="22"/>
                <w:szCs w:val="22"/>
              </w:rPr>
              <w:t>16-24</w:t>
            </w:r>
          </w:p>
        </w:tc>
        <w:tc>
          <w:tcPr>
            <w:tcW w:w="2060" w:type="dxa"/>
            <w:tcBorders>
              <w:top w:val="nil"/>
              <w:left w:val="nil"/>
              <w:bottom w:val="single" w:sz="4" w:space="0" w:color="auto"/>
              <w:right w:val="single" w:sz="4" w:space="0" w:color="auto"/>
            </w:tcBorders>
            <w:noWrap/>
          </w:tcPr>
          <w:p w14:paraId="5D6F42D5" w14:textId="673FADEA"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2.61%</w:t>
            </w:r>
          </w:p>
        </w:tc>
        <w:tc>
          <w:tcPr>
            <w:tcW w:w="1649" w:type="dxa"/>
            <w:tcBorders>
              <w:top w:val="nil"/>
              <w:left w:val="nil"/>
              <w:bottom w:val="single" w:sz="4" w:space="0" w:color="auto"/>
              <w:right w:val="single" w:sz="4" w:space="0" w:color="auto"/>
            </w:tcBorders>
            <w:noWrap/>
          </w:tcPr>
          <w:p w14:paraId="1063DFBD" w14:textId="411FD573"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3.35%</w:t>
            </w:r>
          </w:p>
        </w:tc>
        <w:tc>
          <w:tcPr>
            <w:tcW w:w="1292" w:type="dxa"/>
            <w:tcBorders>
              <w:top w:val="nil"/>
              <w:left w:val="nil"/>
              <w:bottom w:val="single" w:sz="4" w:space="0" w:color="auto"/>
              <w:right w:val="single" w:sz="4" w:space="0" w:color="auto"/>
            </w:tcBorders>
            <w:noWrap/>
          </w:tcPr>
          <w:p w14:paraId="628B20E3" w14:textId="797ADC8D"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0.73%</w:t>
            </w:r>
          </w:p>
        </w:tc>
      </w:tr>
      <w:tr w:rsidR="00CD5AD1" w:rsidRPr="00CD5AD1" w14:paraId="4EB44DA0"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680BAFB1" w14:textId="78E91CB6" w:rsidR="00CD5AD1" w:rsidRPr="00CD5AD1" w:rsidRDefault="00CD5AD1" w:rsidP="00CD5AD1">
            <w:pPr>
              <w:rPr>
                <w:rFonts w:asciiTheme="minorHAnsi" w:hAnsiTheme="minorHAnsi" w:cstheme="minorHAnsi"/>
                <w:color w:val="000000"/>
                <w:sz w:val="22"/>
                <w:szCs w:val="22"/>
              </w:rPr>
            </w:pPr>
            <w:r w:rsidRPr="00CD5AD1">
              <w:rPr>
                <w:rFonts w:asciiTheme="minorHAnsi" w:hAnsiTheme="minorHAnsi" w:cstheme="minorHAnsi"/>
                <w:sz w:val="22"/>
                <w:szCs w:val="22"/>
              </w:rPr>
              <w:t>25-34</w:t>
            </w:r>
          </w:p>
        </w:tc>
        <w:tc>
          <w:tcPr>
            <w:tcW w:w="2060" w:type="dxa"/>
            <w:tcBorders>
              <w:top w:val="nil"/>
              <w:left w:val="nil"/>
              <w:bottom w:val="single" w:sz="4" w:space="0" w:color="auto"/>
              <w:right w:val="single" w:sz="4" w:space="0" w:color="auto"/>
            </w:tcBorders>
            <w:noWrap/>
          </w:tcPr>
          <w:p w14:paraId="23601190" w14:textId="3EC7FD50"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11.76%</w:t>
            </w:r>
          </w:p>
        </w:tc>
        <w:tc>
          <w:tcPr>
            <w:tcW w:w="1649" w:type="dxa"/>
            <w:tcBorders>
              <w:top w:val="nil"/>
              <w:left w:val="nil"/>
              <w:bottom w:val="single" w:sz="4" w:space="0" w:color="auto"/>
              <w:right w:val="single" w:sz="4" w:space="0" w:color="auto"/>
            </w:tcBorders>
            <w:noWrap/>
          </w:tcPr>
          <w:p w14:paraId="378E893F" w14:textId="5820C312"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10.93%</w:t>
            </w:r>
          </w:p>
        </w:tc>
        <w:tc>
          <w:tcPr>
            <w:tcW w:w="1292" w:type="dxa"/>
            <w:tcBorders>
              <w:top w:val="nil"/>
              <w:left w:val="nil"/>
              <w:bottom w:val="single" w:sz="4" w:space="0" w:color="auto"/>
              <w:right w:val="single" w:sz="4" w:space="0" w:color="auto"/>
            </w:tcBorders>
            <w:noWrap/>
          </w:tcPr>
          <w:p w14:paraId="7233F7BF" w14:textId="1DC90B72"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-0.83%</w:t>
            </w:r>
          </w:p>
        </w:tc>
      </w:tr>
      <w:tr w:rsidR="00CD5AD1" w:rsidRPr="00CD5AD1" w14:paraId="13300281"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7612DB0C" w14:textId="454A7BD2" w:rsidR="00CD5AD1" w:rsidRPr="00CD5AD1" w:rsidRDefault="00CD5AD1" w:rsidP="00CD5AD1">
            <w:pPr>
              <w:rPr>
                <w:rFonts w:asciiTheme="minorHAnsi" w:hAnsiTheme="minorHAnsi" w:cstheme="minorHAnsi"/>
                <w:color w:val="000000"/>
                <w:sz w:val="22"/>
                <w:szCs w:val="22"/>
              </w:rPr>
            </w:pPr>
            <w:r w:rsidRPr="00CD5AD1">
              <w:rPr>
                <w:rFonts w:asciiTheme="minorHAnsi" w:hAnsiTheme="minorHAnsi" w:cstheme="minorHAnsi"/>
                <w:sz w:val="22"/>
                <w:szCs w:val="22"/>
              </w:rPr>
              <w:t>35-44</w:t>
            </w:r>
          </w:p>
        </w:tc>
        <w:tc>
          <w:tcPr>
            <w:tcW w:w="2060" w:type="dxa"/>
            <w:tcBorders>
              <w:top w:val="nil"/>
              <w:left w:val="nil"/>
              <w:bottom w:val="single" w:sz="4" w:space="0" w:color="auto"/>
              <w:right w:val="single" w:sz="4" w:space="0" w:color="auto"/>
            </w:tcBorders>
            <w:noWrap/>
          </w:tcPr>
          <w:p w14:paraId="4C6A5917" w14:textId="69359EA1"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21.83%</w:t>
            </w:r>
          </w:p>
        </w:tc>
        <w:tc>
          <w:tcPr>
            <w:tcW w:w="1649" w:type="dxa"/>
            <w:tcBorders>
              <w:top w:val="nil"/>
              <w:left w:val="nil"/>
              <w:bottom w:val="single" w:sz="4" w:space="0" w:color="auto"/>
              <w:right w:val="single" w:sz="4" w:space="0" w:color="auto"/>
            </w:tcBorders>
            <w:noWrap/>
          </w:tcPr>
          <w:p w14:paraId="26E89967" w14:textId="0D624322"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17.63%</w:t>
            </w:r>
          </w:p>
        </w:tc>
        <w:tc>
          <w:tcPr>
            <w:tcW w:w="1292" w:type="dxa"/>
            <w:tcBorders>
              <w:top w:val="nil"/>
              <w:left w:val="nil"/>
              <w:bottom w:val="single" w:sz="4" w:space="0" w:color="auto"/>
              <w:right w:val="single" w:sz="4" w:space="0" w:color="auto"/>
            </w:tcBorders>
            <w:noWrap/>
          </w:tcPr>
          <w:p w14:paraId="4451DA49" w14:textId="1D3B0985"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-4.21%</w:t>
            </w:r>
          </w:p>
        </w:tc>
      </w:tr>
      <w:tr w:rsidR="00CD5AD1" w:rsidRPr="00CD5AD1" w14:paraId="71659481"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33DCDC7D" w14:textId="33EB1A45" w:rsidR="00CD5AD1" w:rsidRPr="00CD5AD1" w:rsidRDefault="00CD5AD1" w:rsidP="00CD5AD1">
            <w:pPr>
              <w:rPr>
                <w:rFonts w:asciiTheme="minorHAnsi" w:hAnsiTheme="minorHAnsi" w:cstheme="minorHAnsi"/>
                <w:color w:val="000000"/>
                <w:sz w:val="22"/>
                <w:szCs w:val="22"/>
              </w:rPr>
            </w:pPr>
            <w:r w:rsidRPr="00CD5AD1">
              <w:rPr>
                <w:rFonts w:asciiTheme="minorHAnsi" w:hAnsiTheme="minorHAnsi" w:cstheme="minorHAnsi"/>
                <w:sz w:val="22"/>
                <w:szCs w:val="22"/>
              </w:rPr>
              <w:t>45-54</w:t>
            </w:r>
          </w:p>
        </w:tc>
        <w:tc>
          <w:tcPr>
            <w:tcW w:w="2060" w:type="dxa"/>
            <w:tcBorders>
              <w:top w:val="nil"/>
              <w:left w:val="nil"/>
              <w:bottom w:val="single" w:sz="4" w:space="0" w:color="auto"/>
              <w:right w:val="single" w:sz="4" w:space="0" w:color="auto"/>
            </w:tcBorders>
            <w:noWrap/>
          </w:tcPr>
          <w:p w14:paraId="3B038825" w14:textId="117162D0"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18.74%</w:t>
            </w:r>
          </w:p>
        </w:tc>
        <w:tc>
          <w:tcPr>
            <w:tcW w:w="1649" w:type="dxa"/>
            <w:tcBorders>
              <w:top w:val="nil"/>
              <w:left w:val="nil"/>
              <w:bottom w:val="single" w:sz="4" w:space="0" w:color="auto"/>
              <w:right w:val="single" w:sz="4" w:space="0" w:color="auto"/>
            </w:tcBorders>
            <w:noWrap/>
          </w:tcPr>
          <w:p w14:paraId="118ABA07" w14:textId="03F3B53D"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15.90%</w:t>
            </w:r>
          </w:p>
        </w:tc>
        <w:tc>
          <w:tcPr>
            <w:tcW w:w="1292" w:type="dxa"/>
            <w:tcBorders>
              <w:top w:val="nil"/>
              <w:left w:val="nil"/>
              <w:bottom w:val="single" w:sz="4" w:space="0" w:color="auto"/>
              <w:right w:val="single" w:sz="4" w:space="0" w:color="auto"/>
            </w:tcBorders>
            <w:noWrap/>
          </w:tcPr>
          <w:p w14:paraId="120F5611" w14:textId="40DEC390"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-2.84%</w:t>
            </w:r>
          </w:p>
        </w:tc>
      </w:tr>
      <w:tr w:rsidR="00CD5AD1" w:rsidRPr="00CD5AD1" w14:paraId="743BF346"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60FEF9E5" w14:textId="2A7A1CCB" w:rsidR="00CD5AD1" w:rsidRPr="00CD5AD1" w:rsidRDefault="00CD5AD1" w:rsidP="00CD5AD1">
            <w:pPr>
              <w:rPr>
                <w:rFonts w:asciiTheme="minorHAnsi" w:hAnsiTheme="minorHAnsi" w:cstheme="minorHAnsi"/>
                <w:color w:val="000000"/>
                <w:sz w:val="22"/>
                <w:szCs w:val="22"/>
              </w:rPr>
            </w:pPr>
            <w:r w:rsidRPr="00CD5AD1">
              <w:rPr>
                <w:rFonts w:asciiTheme="minorHAnsi" w:hAnsiTheme="minorHAnsi" w:cstheme="minorHAnsi"/>
                <w:sz w:val="22"/>
                <w:szCs w:val="22"/>
              </w:rPr>
              <w:t>55-64</w:t>
            </w:r>
          </w:p>
        </w:tc>
        <w:tc>
          <w:tcPr>
            <w:tcW w:w="2060" w:type="dxa"/>
            <w:tcBorders>
              <w:top w:val="nil"/>
              <w:left w:val="nil"/>
              <w:bottom w:val="single" w:sz="4" w:space="0" w:color="auto"/>
              <w:right w:val="single" w:sz="4" w:space="0" w:color="auto"/>
            </w:tcBorders>
            <w:noWrap/>
          </w:tcPr>
          <w:p w14:paraId="30C5A8B9" w14:textId="71FDDAE9"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19.30%</w:t>
            </w:r>
          </w:p>
        </w:tc>
        <w:tc>
          <w:tcPr>
            <w:tcW w:w="1649" w:type="dxa"/>
            <w:tcBorders>
              <w:top w:val="nil"/>
              <w:left w:val="nil"/>
              <w:bottom w:val="single" w:sz="4" w:space="0" w:color="auto"/>
              <w:right w:val="single" w:sz="4" w:space="0" w:color="auto"/>
            </w:tcBorders>
            <w:noWrap/>
          </w:tcPr>
          <w:p w14:paraId="29E69594" w14:textId="26715B27"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17.05%</w:t>
            </w:r>
          </w:p>
        </w:tc>
        <w:tc>
          <w:tcPr>
            <w:tcW w:w="1292" w:type="dxa"/>
            <w:tcBorders>
              <w:top w:val="nil"/>
              <w:left w:val="nil"/>
              <w:bottom w:val="single" w:sz="4" w:space="0" w:color="auto"/>
              <w:right w:val="single" w:sz="4" w:space="0" w:color="auto"/>
            </w:tcBorders>
            <w:noWrap/>
          </w:tcPr>
          <w:p w14:paraId="0E05167A" w14:textId="79093733"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-2.25%</w:t>
            </w:r>
          </w:p>
        </w:tc>
      </w:tr>
      <w:tr w:rsidR="00CD5AD1" w:rsidRPr="00CD5AD1" w14:paraId="01879A36"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3AF0C409" w14:textId="6B092002" w:rsidR="00CD5AD1" w:rsidRPr="00CD5AD1" w:rsidRDefault="00CD5AD1" w:rsidP="00CD5AD1">
            <w:pPr>
              <w:rPr>
                <w:rFonts w:asciiTheme="minorHAnsi" w:hAnsiTheme="minorHAnsi" w:cstheme="minorHAnsi"/>
                <w:color w:val="000000"/>
                <w:sz w:val="22"/>
                <w:szCs w:val="22"/>
              </w:rPr>
            </w:pPr>
            <w:r w:rsidRPr="00CD5AD1">
              <w:rPr>
                <w:rFonts w:asciiTheme="minorHAnsi" w:hAnsiTheme="minorHAnsi" w:cstheme="minorHAnsi"/>
                <w:sz w:val="22"/>
                <w:szCs w:val="22"/>
              </w:rPr>
              <w:t>65-74</w:t>
            </w:r>
          </w:p>
        </w:tc>
        <w:tc>
          <w:tcPr>
            <w:tcW w:w="2060" w:type="dxa"/>
            <w:tcBorders>
              <w:top w:val="nil"/>
              <w:left w:val="nil"/>
              <w:bottom w:val="single" w:sz="4" w:space="0" w:color="auto"/>
              <w:right w:val="single" w:sz="4" w:space="0" w:color="auto"/>
            </w:tcBorders>
            <w:noWrap/>
          </w:tcPr>
          <w:p w14:paraId="419D4DA2" w14:textId="61533531"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14.42%</w:t>
            </w:r>
          </w:p>
        </w:tc>
        <w:tc>
          <w:tcPr>
            <w:tcW w:w="1649" w:type="dxa"/>
            <w:tcBorders>
              <w:top w:val="nil"/>
              <w:left w:val="nil"/>
              <w:bottom w:val="single" w:sz="4" w:space="0" w:color="auto"/>
              <w:right w:val="single" w:sz="4" w:space="0" w:color="auto"/>
            </w:tcBorders>
            <w:noWrap/>
          </w:tcPr>
          <w:p w14:paraId="4AB81AD0" w14:textId="586F9E9F"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17.42%</w:t>
            </w:r>
          </w:p>
        </w:tc>
        <w:tc>
          <w:tcPr>
            <w:tcW w:w="1292" w:type="dxa"/>
            <w:tcBorders>
              <w:top w:val="nil"/>
              <w:left w:val="nil"/>
              <w:bottom w:val="single" w:sz="4" w:space="0" w:color="auto"/>
              <w:right w:val="single" w:sz="4" w:space="0" w:color="auto"/>
            </w:tcBorders>
            <w:noWrap/>
          </w:tcPr>
          <w:p w14:paraId="13E98B09" w14:textId="25DD650C"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2.99%</w:t>
            </w:r>
          </w:p>
        </w:tc>
      </w:tr>
      <w:tr w:rsidR="00CD5AD1" w:rsidRPr="00CD5AD1" w14:paraId="4A78530B"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4A33B719" w14:textId="4A8C07B2" w:rsidR="00CD5AD1" w:rsidRPr="00CD5AD1" w:rsidRDefault="00CD5AD1" w:rsidP="00CD5AD1">
            <w:pPr>
              <w:rPr>
                <w:rFonts w:asciiTheme="minorHAnsi" w:hAnsiTheme="minorHAnsi" w:cstheme="minorHAnsi"/>
                <w:color w:val="000000"/>
                <w:sz w:val="22"/>
                <w:szCs w:val="22"/>
              </w:rPr>
            </w:pPr>
            <w:r w:rsidRPr="00CD5AD1">
              <w:rPr>
                <w:rFonts w:asciiTheme="minorHAnsi" w:hAnsiTheme="minorHAnsi" w:cstheme="minorHAnsi"/>
                <w:sz w:val="22"/>
                <w:szCs w:val="22"/>
              </w:rPr>
              <w:t>75-84</w:t>
            </w:r>
          </w:p>
        </w:tc>
        <w:tc>
          <w:tcPr>
            <w:tcW w:w="2060" w:type="dxa"/>
            <w:tcBorders>
              <w:top w:val="nil"/>
              <w:left w:val="nil"/>
              <w:bottom w:val="single" w:sz="4" w:space="0" w:color="auto"/>
              <w:right w:val="single" w:sz="4" w:space="0" w:color="auto"/>
            </w:tcBorders>
            <w:noWrap/>
          </w:tcPr>
          <w:p w14:paraId="3D041DBD" w14:textId="205CCBA8"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8.37%</w:t>
            </w:r>
          </w:p>
        </w:tc>
        <w:tc>
          <w:tcPr>
            <w:tcW w:w="1649" w:type="dxa"/>
            <w:tcBorders>
              <w:top w:val="nil"/>
              <w:left w:val="nil"/>
              <w:bottom w:val="single" w:sz="4" w:space="0" w:color="auto"/>
              <w:right w:val="single" w:sz="4" w:space="0" w:color="auto"/>
            </w:tcBorders>
            <w:noWrap/>
          </w:tcPr>
          <w:p w14:paraId="61F5B0ED" w14:textId="79FC2BF1"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11.98%</w:t>
            </w:r>
          </w:p>
        </w:tc>
        <w:tc>
          <w:tcPr>
            <w:tcW w:w="1292" w:type="dxa"/>
            <w:tcBorders>
              <w:top w:val="nil"/>
              <w:left w:val="nil"/>
              <w:bottom w:val="single" w:sz="4" w:space="0" w:color="auto"/>
              <w:right w:val="single" w:sz="4" w:space="0" w:color="auto"/>
            </w:tcBorders>
            <w:noWrap/>
          </w:tcPr>
          <w:p w14:paraId="29916910" w14:textId="4EC40195"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3.61%</w:t>
            </w:r>
          </w:p>
        </w:tc>
      </w:tr>
      <w:tr w:rsidR="00CD5AD1" w:rsidRPr="00CD5AD1" w14:paraId="135E5C99"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0516AABC" w14:textId="24D690BA" w:rsidR="00CD5AD1" w:rsidRPr="00CD5AD1" w:rsidRDefault="00CD5AD1" w:rsidP="00CD5AD1">
            <w:pPr>
              <w:rPr>
                <w:rFonts w:asciiTheme="minorHAnsi" w:hAnsiTheme="minorHAnsi" w:cstheme="minorHAnsi"/>
                <w:color w:val="000000"/>
                <w:sz w:val="22"/>
                <w:szCs w:val="22"/>
              </w:rPr>
            </w:pPr>
            <w:r w:rsidRPr="00CD5AD1">
              <w:rPr>
                <w:rFonts w:asciiTheme="minorHAnsi" w:hAnsiTheme="minorHAnsi" w:cstheme="minorHAnsi"/>
                <w:sz w:val="22"/>
                <w:szCs w:val="22"/>
              </w:rPr>
              <w:t>85 and over</w:t>
            </w:r>
          </w:p>
        </w:tc>
        <w:tc>
          <w:tcPr>
            <w:tcW w:w="2060" w:type="dxa"/>
            <w:tcBorders>
              <w:top w:val="nil"/>
              <w:left w:val="nil"/>
              <w:bottom w:val="single" w:sz="4" w:space="0" w:color="auto"/>
              <w:right w:val="single" w:sz="4" w:space="0" w:color="auto"/>
            </w:tcBorders>
            <w:noWrap/>
          </w:tcPr>
          <w:p w14:paraId="51A0AAB0" w14:textId="7CFB2A3C"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2.89%</w:t>
            </w:r>
          </w:p>
        </w:tc>
        <w:tc>
          <w:tcPr>
            <w:tcW w:w="1649" w:type="dxa"/>
            <w:tcBorders>
              <w:top w:val="nil"/>
              <w:left w:val="nil"/>
              <w:bottom w:val="single" w:sz="4" w:space="0" w:color="auto"/>
              <w:right w:val="single" w:sz="4" w:space="0" w:color="auto"/>
            </w:tcBorders>
            <w:noWrap/>
          </w:tcPr>
          <w:p w14:paraId="1BC10B37" w14:textId="199E0110"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5.13%</w:t>
            </w:r>
          </w:p>
        </w:tc>
        <w:tc>
          <w:tcPr>
            <w:tcW w:w="1292" w:type="dxa"/>
            <w:tcBorders>
              <w:top w:val="nil"/>
              <w:left w:val="nil"/>
              <w:bottom w:val="single" w:sz="4" w:space="0" w:color="auto"/>
              <w:right w:val="single" w:sz="4" w:space="0" w:color="auto"/>
            </w:tcBorders>
            <w:noWrap/>
          </w:tcPr>
          <w:p w14:paraId="57D7F853" w14:textId="34853379" w:rsidR="00CD5AD1" w:rsidRPr="00CD5AD1" w:rsidRDefault="00CD5AD1" w:rsidP="00CD5AD1">
            <w:pPr>
              <w:jc w:val="right"/>
              <w:rPr>
                <w:rFonts w:asciiTheme="minorHAnsi" w:hAnsiTheme="minorHAnsi" w:cstheme="minorHAnsi"/>
                <w:color w:val="000000"/>
                <w:sz w:val="22"/>
                <w:szCs w:val="22"/>
              </w:rPr>
            </w:pPr>
            <w:r w:rsidRPr="00CD5AD1">
              <w:rPr>
                <w:rFonts w:asciiTheme="minorHAnsi" w:hAnsiTheme="minorHAnsi" w:cstheme="minorHAnsi"/>
              </w:rPr>
              <w:t>2.24%</w:t>
            </w:r>
          </w:p>
        </w:tc>
      </w:tr>
      <w:tr w:rsidR="0070207A" w:rsidRPr="00CD5AD1" w14:paraId="579463E3"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26132842" w14:textId="77777777" w:rsidR="0070207A" w:rsidRPr="00CD5AD1" w:rsidRDefault="0070207A" w:rsidP="0070207A">
            <w:pPr>
              <w:rPr>
                <w:rFonts w:asciiTheme="minorHAnsi" w:hAnsiTheme="minorHAnsi" w:cstheme="minorHAnsi"/>
                <w:b/>
                <w:bCs/>
                <w:color w:val="000000"/>
                <w:sz w:val="22"/>
                <w:szCs w:val="22"/>
              </w:rPr>
            </w:pPr>
            <w:r w:rsidRPr="00CD5AD1">
              <w:rPr>
                <w:rFonts w:asciiTheme="minorHAnsi" w:hAnsiTheme="minorHAnsi" w:cstheme="minorHAnsi"/>
                <w:b/>
                <w:bCs/>
                <w:color w:val="000000"/>
                <w:sz w:val="22"/>
                <w:szCs w:val="22"/>
              </w:rPr>
              <w:t>Gender</w:t>
            </w:r>
          </w:p>
        </w:tc>
        <w:tc>
          <w:tcPr>
            <w:tcW w:w="2060" w:type="dxa"/>
            <w:tcBorders>
              <w:top w:val="nil"/>
              <w:left w:val="nil"/>
              <w:bottom w:val="single" w:sz="4" w:space="0" w:color="auto"/>
              <w:right w:val="single" w:sz="4" w:space="0" w:color="auto"/>
            </w:tcBorders>
            <w:noWrap/>
            <w:vAlign w:val="bottom"/>
          </w:tcPr>
          <w:p w14:paraId="47FC3B2D" w14:textId="6B6A1217" w:rsidR="0070207A" w:rsidRPr="00CD5AD1" w:rsidRDefault="0070207A" w:rsidP="0070207A">
            <w:pPr>
              <w:rPr>
                <w:rFonts w:asciiTheme="minorHAnsi" w:hAnsiTheme="minorHAnsi" w:cstheme="minorHAnsi"/>
                <w:color w:val="000000"/>
                <w:sz w:val="22"/>
                <w:szCs w:val="22"/>
              </w:rPr>
            </w:pPr>
          </w:p>
        </w:tc>
        <w:tc>
          <w:tcPr>
            <w:tcW w:w="1649" w:type="dxa"/>
            <w:tcBorders>
              <w:top w:val="nil"/>
              <w:left w:val="nil"/>
              <w:bottom w:val="single" w:sz="4" w:space="0" w:color="auto"/>
              <w:right w:val="single" w:sz="4" w:space="0" w:color="auto"/>
            </w:tcBorders>
            <w:noWrap/>
            <w:vAlign w:val="bottom"/>
          </w:tcPr>
          <w:p w14:paraId="327706F7" w14:textId="69B54D79" w:rsidR="0070207A" w:rsidRPr="00CD5AD1" w:rsidRDefault="0070207A" w:rsidP="0070207A">
            <w:pPr>
              <w:rPr>
                <w:rFonts w:asciiTheme="minorHAnsi" w:hAnsiTheme="minorHAnsi" w:cstheme="minorHAnsi"/>
                <w:color w:val="000000"/>
                <w:sz w:val="22"/>
                <w:szCs w:val="22"/>
              </w:rPr>
            </w:pPr>
          </w:p>
        </w:tc>
        <w:tc>
          <w:tcPr>
            <w:tcW w:w="1292" w:type="dxa"/>
            <w:tcBorders>
              <w:top w:val="nil"/>
              <w:left w:val="nil"/>
              <w:bottom w:val="single" w:sz="4" w:space="0" w:color="auto"/>
              <w:right w:val="single" w:sz="4" w:space="0" w:color="auto"/>
            </w:tcBorders>
            <w:noWrap/>
            <w:vAlign w:val="bottom"/>
          </w:tcPr>
          <w:p w14:paraId="1B52EE80" w14:textId="085616CC" w:rsidR="0070207A" w:rsidRPr="00CD5AD1" w:rsidRDefault="0070207A" w:rsidP="0070207A">
            <w:pPr>
              <w:rPr>
                <w:rFonts w:asciiTheme="minorHAnsi" w:hAnsiTheme="minorHAnsi" w:cstheme="minorHAnsi"/>
                <w:color w:val="000000"/>
                <w:sz w:val="22"/>
                <w:szCs w:val="22"/>
              </w:rPr>
            </w:pPr>
          </w:p>
        </w:tc>
      </w:tr>
      <w:tr w:rsidR="00B502A7" w:rsidRPr="00CD5AD1" w14:paraId="1FBC8D94"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72C8EEED" w14:textId="2E656590" w:rsidR="00B502A7" w:rsidRPr="00CD5AD1" w:rsidRDefault="00B502A7" w:rsidP="00B502A7">
            <w:pPr>
              <w:rPr>
                <w:rFonts w:asciiTheme="minorHAnsi" w:hAnsiTheme="minorHAnsi" w:cstheme="minorHAnsi"/>
                <w:color w:val="000000"/>
                <w:sz w:val="22"/>
                <w:szCs w:val="22"/>
              </w:rPr>
            </w:pPr>
            <w:r w:rsidRPr="00CD5AD1">
              <w:rPr>
                <w:rFonts w:asciiTheme="minorHAnsi" w:hAnsiTheme="minorHAnsi" w:cstheme="minorHAnsi"/>
                <w:sz w:val="22"/>
                <w:szCs w:val="22"/>
              </w:rPr>
              <w:t>Female</w:t>
            </w:r>
          </w:p>
        </w:tc>
        <w:tc>
          <w:tcPr>
            <w:tcW w:w="2060" w:type="dxa"/>
            <w:tcBorders>
              <w:top w:val="nil"/>
              <w:left w:val="nil"/>
              <w:bottom w:val="single" w:sz="4" w:space="0" w:color="auto"/>
              <w:right w:val="single" w:sz="4" w:space="0" w:color="auto"/>
            </w:tcBorders>
            <w:noWrap/>
            <w:vAlign w:val="bottom"/>
          </w:tcPr>
          <w:p w14:paraId="2182F6C8" w14:textId="351F432B" w:rsidR="00B502A7" w:rsidRPr="00CD5AD1" w:rsidRDefault="00EF043B" w:rsidP="00B502A7">
            <w:pPr>
              <w:jc w:val="right"/>
              <w:rPr>
                <w:rFonts w:asciiTheme="minorHAnsi" w:hAnsiTheme="minorHAnsi" w:cstheme="minorHAnsi"/>
                <w:color w:val="000000"/>
                <w:sz w:val="22"/>
                <w:szCs w:val="22"/>
              </w:rPr>
            </w:pPr>
            <w:r>
              <w:rPr>
                <w:rFonts w:asciiTheme="minorHAnsi" w:hAnsiTheme="minorHAnsi" w:cstheme="minorHAnsi"/>
                <w:sz w:val="22"/>
                <w:szCs w:val="22"/>
              </w:rPr>
              <w:t>58.60</w:t>
            </w:r>
            <w:r w:rsidR="00B502A7" w:rsidRPr="00CD5AD1">
              <w:rPr>
                <w:rFonts w:asciiTheme="minorHAnsi" w:hAnsiTheme="minorHAnsi" w:cstheme="minorHAnsi"/>
                <w:sz w:val="22"/>
                <w:szCs w:val="22"/>
              </w:rPr>
              <w:t>%</w:t>
            </w:r>
          </w:p>
        </w:tc>
        <w:tc>
          <w:tcPr>
            <w:tcW w:w="1649" w:type="dxa"/>
            <w:tcBorders>
              <w:top w:val="nil"/>
              <w:left w:val="nil"/>
              <w:bottom w:val="single" w:sz="4" w:space="0" w:color="auto"/>
              <w:right w:val="single" w:sz="4" w:space="0" w:color="auto"/>
            </w:tcBorders>
            <w:noWrap/>
            <w:vAlign w:val="bottom"/>
          </w:tcPr>
          <w:p w14:paraId="384213B9" w14:textId="361BF1D8" w:rsidR="00B502A7" w:rsidRPr="00CD5AD1" w:rsidRDefault="00EF043B" w:rsidP="00B502A7">
            <w:pPr>
              <w:jc w:val="right"/>
              <w:rPr>
                <w:rFonts w:asciiTheme="minorHAnsi" w:hAnsiTheme="minorHAnsi" w:cstheme="minorHAnsi"/>
                <w:color w:val="000000"/>
                <w:sz w:val="22"/>
                <w:szCs w:val="22"/>
              </w:rPr>
            </w:pPr>
            <w:r>
              <w:rPr>
                <w:rFonts w:asciiTheme="minorHAnsi" w:hAnsiTheme="minorHAnsi" w:cstheme="minorHAnsi"/>
                <w:sz w:val="22"/>
                <w:szCs w:val="22"/>
              </w:rPr>
              <w:t>57.48%</w:t>
            </w:r>
          </w:p>
        </w:tc>
        <w:tc>
          <w:tcPr>
            <w:tcW w:w="1292" w:type="dxa"/>
            <w:tcBorders>
              <w:top w:val="nil"/>
              <w:left w:val="nil"/>
              <w:bottom w:val="single" w:sz="4" w:space="0" w:color="auto"/>
              <w:right w:val="single" w:sz="4" w:space="0" w:color="auto"/>
            </w:tcBorders>
            <w:noWrap/>
            <w:vAlign w:val="bottom"/>
          </w:tcPr>
          <w:p w14:paraId="59FB7B78" w14:textId="249D82AC" w:rsidR="00B502A7" w:rsidRPr="00CD5AD1" w:rsidRDefault="00EF043B" w:rsidP="00B502A7">
            <w:pPr>
              <w:jc w:val="right"/>
              <w:rPr>
                <w:rFonts w:asciiTheme="minorHAnsi" w:hAnsiTheme="minorHAnsi" w:cstheme="minorHAnsi"/>
                <w:color w:val="000000"/>
                <w:sz w:val="22"/>
                <w:szCs w:val="22"/>
              </w:rPr>
            </w:pPr>
            <w:r>
              <w:rPr>
                <w:rFonts w:asciiTheme="minorHAnsi" w:hAnsiTheme="minorHAnsi" w:cstheme="minorHAnsi"/>
                <w:sz w:val="22"/>
                <w:szCs w:val="22"/>
              </w:rPr>
              <w:t>-1.12%</w:t>
            </w:r>
          </w:p>
        </w:tc>
      </w:tr>
      <w:tr w:rsidR="00B502A7" w:rsidRPr="00CD5AD1" w14:paraId="6357B617"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1F901838" w14:textId="36709AC0" w:rsidR="00B502A7" w:rsidRPr="00CD5AD1" w:rsidRDefault="00B502A7" w:rsidP="00B502A7">
            <w:pPr>
              <w:rPr>
                <w:rFonts w:asciiTheme="minorHAnsi" w:hAnsiTheme="minorHAnsi" w:cstheme="minorHAnsi"/>
                <w:color w:val="000000"/>
                <w:sz w:val="22"/>
                <w:szCs w:val="22"/>
              </w:rPr>
            </w:pPr>
            <w:r w:rsidRPr="00CD5AD1">
              <w:rPr>
                <w:rFonts w:asciiTheme="minorHAnsi" w:hAnsiTheme="minorHAnsi" w:cstheme="minorHAnsi"/>
                <w:sz w:val="22"/>
                <w:szCs w:val="22"/>
              </w:rPr>
              <w:t>Male</w:t>
            </w:r>
          </w:p>
        </w:tc>
        <w:tc>
          <w:tcPr>
            <w:tcW w:w="2060" w:type="dxa"/>
            <w:tcBorders>
              <w:top w:val="nil"/>
              <w:left w:val="nil"/>
              <w:bottom w:val="single" w:sz="4" w:space="0" w:color="auto"/>
              <w:right w:val="single" w:sz="4" w:space="0" w:color="auto"/>
            </w:tcBorders>
            <w:noWrap/>
            <w:vAlign w:val="bottom"/>
          </w:tcPr>
          <w:p w14:paraId="75FDF1AF" w14:textId="67D91198" w:rsidR="00B502A7" w:rsidRPr="00CD5AD1" w:rsidRDefault="00B502A7" w:rsidP="00B502A7">
            <w:pPr>
              <w:jc w:val="right"/>
              <w:rPr>
                <w:rFonts w:asciiTheme="minorHAnsi" w:hAnsiTheme="minorHAnsi" w:cstheme="minorHAnsi"/>
                <w:color w:val="000000"/>
                <w:sz w:val="22"/>
                <w:szCs w:val="22"/>
              </w:rPr>
            </w:pPr>
            <w:r w:rsidRPr="00CD5AD1">
              <w:rPr>
                <w:rFonts w:asciiTheme="minorHAnsi" w:hAnsiTheme="minorHAnsi" w:cstheme="minorHAnsi"/>
                <w:sz w:val="22"/>
                <w:szCs w:val="22"/>
              </w:rPr>
              <w:t>36.</w:t>
            </w:r>
            <w:r w:rsidR="00ED267A">
              <w:rPr>
                <w:rFonts w:asciiTheme="minorHAnsi" w:hAnsiTheme="minorHAnsi" w:cstheme="minorHAnsi"/>
                <w:sz w:val="22"/>
                <w:szCs w:val="22"/>
              </w:rPr>
              <w:t>31</w:t>
            </w:r>
            <w:r w:rsidRPr="00CD5AD1">
              <w:rPr>
                <w:rFonts w:asciiTheme="minorHAnsi" w:hAnsiTheme="minorHAnsi" w:cstheme="minorHAnsi"/>
                <w:sz w:val="22"/>
                <w:szCs w:val="22"/>
              </w:rPr>
              <w:t>%</w:t>
            </w:r>
          </w:p>
        </w:tc>
        <w:tc>
          <w:tcPr>
            <w:tcW w:w="1649" w:type="dxa"/>
            <w:tcBorders>
              <w:top w:val="nil"/>
              <w:left w:val="nil"/>
              <w:bottom w:val="single" w:sz="4" w:space="0" w:color="auto"/>
              <w:right w:val="single" w:sz="4" w:space="0" w:color="auto"/>
            </w:tcBorders>
            <w:noWrap/>
            <w:vAlign w:val="bottom"/>
          </w:tcPr>
          <w:p w14:paraId="2A2DC282" w14:textId="106722C8" w:rsidR="00B502A7" w:rsidRPr="00CD5AD1" w:rsidRDefault="00ED267A" w:rsidP="00B502A7">
            <w:pPr>
              <w:jc w:val="right"/>
              <w:rPr>
                <w:rFonts w:asciiTheme="minorHAnsi" w:hAnsiTheme="minorHAnsi" w:cstheme="minorHAnsi"/>
                <w:color w:val="000000"/>
                <w:sz w:val="22"/>
                <w:szCs w:val="22"/>
              </w:rPr>
            </w:pPr>
            <w:r>
              <w:rPr>
                <w:rFonts w:asciiTheme="minorHAnsi" w:hAnsiTheme="minorHAnsi" w:cstheme="minorHAnsi"/>
                <w:sz w:val="22"/>
                <w:szCs w:val="22"/>
              </w:rPr>
              <w:t>36.40%</w:t>
            </w:r>
          </w:p>
        </w:tc>
        <w:tc>
          <w:tcPr>
            <w:tcW w:w="1292" w:type="dxa"/>
            <w:tcBorders>
              <w:top w:val="nil"/>
              <w:left w:val="nil"/>
              <w:bottom w:val="single" w:sz="4" w:space="0" w:color="auto"/>
              <w:right w:val="single" w:sz="4" w:space="0" w:color="auto"/>
            </w:tcBorders>
            <w:noWrap/>
            <w:vAlign w:val="bottom"/>
          </w:tcPr>
          <w:p w14:paraId="388BB97D" w14:textId="59260940" w:rsidR="00B502A7" w:rsidRPr="00CD5AD1" w:rsidRDefault="00ED267A" w:rsidP="00B502A7">
            <w:pPr>
              <w:jc w:val="right"/>
              <w:rPr>
                <w:rFonts w:asciiTheme="minorHAnsi" w:hAnsiTheme="minorHAnsi" w:cstheme="minorHAnsi"/>
                <w:color w:val="000000"/>
                <w:sz w:val="22"/>
                <w:szCs w:val="22"/>
              </w:rPr>
            </w:pPr>
            <w:r>
              <w:rPr>
                <w:rFonts w:asciiTheme="minorHAnsi" w:hAnsiTheme="minorHAnsi" w:cstheme="minorHAnsi"/>
                <w:sz w:val="22"/>
                <w:szCs w:val="22"/>
              </w:rPr>
              <w:t>0.09%</w:t>
            </w:r>
          </w:p>
        </w:tc>
      </w:tr>
      <w:tr w:rsidR="00B502A7" w:rsidRPr="00CD5AD1" w14:paraId="7237C44A"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36F18DB6" w14:textId="757C4553" w:rsidR="00B502A7" w:rsidRPr="00CD5AD1" w:rsidRDefault="00B502A7" w:rsidP="00B502A7">
            <w:pPr>
              <w:rPr>
                <w:rFonts w:asciiTheme="minorHAnsi" w:hAnsiTheme="minorHAnsi" w:cstheme="minorHAnsi"/>
                <w:color w:val="000000"/>
                <w:sz w:val="22"/>
                <w:szCs w:val="22"/>
              </w:rPr>
            </w:pPr>
            <w:r w:rsidRPr="00CD5AD1">
              <w:rPr>
                <w:rFonts w:asciiTheme="minorHAnsi" w:hAnsiTheme="minorHAnsi" w:cstheme="minorHAnsi"/>
                <w:sz w:val="22"/>
                <w:szCs w:val="22"/>
              </w:rPr>
              <w:t>Prefer not to say</w:t>
            </w:r>
          </w:p>
        </w:tc>
        <w:tc>
          <w:tcPr>
            <w:tcW w:w="2060" w:type="dxa"/>
            <w:tcBorders>
              <w:top w:val="nil"/>
              <w:left w:val="nil"/>
              <w:bottom w:val="single" w:sz="4" w:space="0" w:color="auto"/>
              <w:right w:val="single" w:sz="4" w:space="0" w:color="auto"/>
            </w:tcBorders>
            <w:noWrap/>
            <w:vAlign w:val="bottom"/>
          </w:tcPr>
          <w:p w14:paraId="6BD65488" w14:textId="4291BFA3" w:rsidR="00B502A7" w:rsidRPr="00CD5AD1" w:rsidRDefault="00B502A7" w:rsidP="00B502A7">
            <w:pPr>
              <w:jc w:val="right"/>
              <w:rPr>
                <w:rFonts w:asciiTheme="minorHAnsi" w:hAnsiTheme="minorHAnsi" w:cstheme="minorHAnsi"/>
                <w:color w:val="000000"/>
                <w:sz w:val="22"/>
                <w:szCs w:val="22"/>
              </w:rPr>
            </w:pPr>
            <w:r w:rsidRPr="00CD5AD1">
              <w:rPr>
                <w:rFonts w:asciiTheme="minorHAnsi" w:hAnsiTheme="minorHAnsi" w:cstheme="minorHAnsi"/>
                <w:sz w:val="22"/>
                <w:szCs w:val="22"/>
              </w:rPr>
              <w:t>0.</w:t>
            </w:r>
            <w:r w:rsidR="00ED267A">
              <w:rPr>
                <w:rFonts w:asciiTheme="minorHAnsi" w:hAnsiTheme="minorHAnsi" w:cstheme="minorHAnsi"/>
                <w:sz w:val="22"/>
                <w:szCs w:val="22"/>
              </w:rPr>
              <w:t>09</w:t>
            </w:r>
            <w:r w:rsidRPr="00CD5AD1">
              <w:rPr>
                <w:rFonts w:asciiTheme="minorHAnsi" w:hAnsiTheme="minorHAnsi" w:cstheme="minorHAnsi"/>
                <w:sz w:val="22"/>
                <w:szCs w:val="22"/>
              </w:rPr>
              <w:t>%</w:t>
            </w:r>
          </w:p>
        </w:tc>
        <w:tc>
          <w:tcPr>
            <w:tcW w:w="1649" w:type="dxa"/>
            <w:tcBorders>
              <w:top w:val="nil"/>
              <w:left w:val="nil"/>
              <w:bottom w:val="single" w:sz="4" w:space="0" w:color="auto"/>
              <w:right w:val="single" w:sz="4" w:space="0" w:color="auto"/>
            </w:tcBorders>
            <w:noWrap/>
            <w:vAlign w:val="bottom"/>
          </w:tcPr>
          <w:p w14:paraId="1875E84F" w14:textId="28CE5803" w:rsidR="00B502A7" w:rsidRPr="00CD5AD1" w:rsidRDefault="00B502A7" w:rsidP="00B502A7">
            <w:pPr>
              <w:jc w:val="right"/>
              <w:rPr>
                <w:rFonts w:asciiTheme="minorHAnsi" w:hAnsiTheme="minorHAnsi" w:cstheme="minorHAnsi"/>
                <w:color w:val="000000"/>
                <w:sz w:val="22"/>
                <w:szCs w:val="22"/>
              </w:rPr>
            </w:pPr>
            <w:r w:rsidRPr="00CD5AD1">
              <w:rPr>
                <w:rFonts w:asciiTheme="minorHAnsi" w:hAnsiTheme="minorHAnsi" w:cstheme="minorHAnsi"/>
                <w:sz w:val="22"/>
                <w:szCs w:val="22"/>
              </w:rPr>
              <w:t>0.</w:t>
            </w:r>
            <w:r w:rsidR="00ED267A">
              <w:rPr>
                <w:rFonts w:asciiTheme="minorHAnsi" w:hAnsiTheme="minorHAnsi" w:cstheme="minorHAnsi"/>
                <w:sz w:val="22"/>
                <w:szCs w:val="22"/>
              </w:rPr>
              <w:t>05</w:t>
            </w:r>
            <w:r w:rsidRPr="00CD5AD1">
              <w:rPr>
                <w:rFonts w:asciiTheme="minorHAnsi" w:hAnsiTheme="minorHAnsi" w:cstheme="minorHAnsi"/>
                <w:sz w:val="22"/>
                <w:szCs w:val="22"/>
              </w:rPr>
              <w:t>%</w:t>
            </w:r>
          </w:p>
        </w:tc>
        <w:tc>
          <w:tcPr>
            <w:tcW w:w="1292" w:type="dxa"/>
            <w:tcBorders>
              <w:top w:val="nil"/>
              <w:left w:val="nil"/>
              <w:bottom w:val="single" w:sz="4" w:space="0" w:color="auto"/>
              <w:right w:val="single" w:sz="4" w:space="0" w:color="auto"/>
            </w:tcBorders>
            <w:noWrap/>
            <w:vAlign w:val="bottom"/>
          </w:tcPr>
          <w:p w14:paraId="7E5DDEC2" w14:textId="49435A82" w:rsidR="00B502A7" w:rsidRPr="00CD5AD1" w:rsidRDefault="00B502A7" w:rsidP="00B502A7">
            <w:pPr>
              <w:jc w:val="right"/>
              <w:rPr>
                <w:rFonts w:asciiTheme="minorHAnsi" w:hAnsiTheme="minorHAnsi" w:cstheme="minorHAnsi"/>
                <w:color w:val="000000"/>
                <w:sz w:val="22"/>
                <w:szCs w:val="22"/>
              </w:rPr>
            </w:pPr>
            <w:r w:rsidRPr="00CD5AD1">
              <w:rPr>
                <w:rFonts w:asciiTheme="minorHAnsi" w:hAnsiTheme="minorHAnsi" w:cstheme="minorHAnsi"/>
                <w:sz w:val="22"/>
                <w:szCs w:val="22"/>
              </w:rPr>
              <w:t>0.0</w:t>
            </w:r>
            <w:r w:rsidR="00F24323">
              <w:rPr>
                <w:rFonts w:asciiTheme="minorHAnsi" w:hAnsiTheme="minorHAnsi" w:cstheme="minorHAnsi"/>
                <w:sz w:val="22"/>
                <w:szCs w:val="22"/>
              </w:rPr>
              <w:t>4</w:t>
            </w:r>
            <w:r w:rsidRPr="00CD5AD1">
              <w:rPr>
                <w:rFonts w:asciiTheme="minorHAnsi" w:hAnsiTheme="minorHAnsi" w:cstheme="minorHAnsi"/>
                <w:sz w:val="22"/>
                <w:szCs w:val="22"/>
              </w:rPr>
              <w:t>%</w:t>
            </w:r>
          </w:p>
        </w:tc>
      </w:tr>
      <w:tr w:rsidR="0070207A" w:rsidRPr="00CD5AD1" w14:paraId="214E3788"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607248FC" w14:textId="77777777" w:rsidR="0070207A" w:rsidRPr="00CD5AD1" w:rsidRDefault="0070207A" w:rsidP="0070207A">
            <w:pPr>
              <w:rPr>
                <w:rFonts w:asciiTheme="minorHAnsi" w:hAnsiTheme="minorHAnsi" w:cstheme="minorHAnsi"/>
                <w:b/>
                <w:bCs/>
                <w:color w:val="000000"/>
                <w:sz w:val="22"/>
                <w:szCs w:val="22"/>
              </w:rPr>
            </w:pPr>
            <w:r w:rsidRPr="00CD5AD1">
              <w:rPr>
                <w:rFonts w:asciiTheme="minorHAnsi" w:hAnsiTheme="minorHAnsi" w:cstheme="minorHAnsi"/>
                <w:b/>
                <w:bCs/>
                <w:color w:val="000000"/>
                <w:sz w:val="22"/>
                <w:szCs w:val="22"/>
              </w:rPr>
              <w:t>Ethnicity</w:t>
            </w:r>
          </w:p>
        </w:tc>
        <w:tc>
          <w:tcPr>
            <w:tcW w:w="2060" w:type="dxa"/>
            <w:tcBorders>
              <w:top w:val="nil"/>
              <w:left w:val="nil"/>
              <w:bottom w:val="single" w:sz="4" w:space="0" w:color="auto"/>
              <w:right w:val="single" w:sz="4" w:space="0" w:color="auto"/>
            </w:tcBorders>
            <w:noWrap/>
            <w:vAlign w:val="bottom"/>
          </w:tcPr>
          <w:p w14:paraId="1B66E05D" w14:textId="3BD4A7F5" w:rsidR="0070207A" w:rsidRPr="00CD5AD1" w:rsidRDefault="0070207A" w:rsidP="0070207A">
            <w:pPr>
              <w:rPr>
                <w:rFonts w:asciiTheme="minorHAnsi" w:hAnsiTheme="minorHAnsi" w:cstheme="minorHAnsi"/>
                <w:color w:val="000000"/>
                <w:sz w:val="22"/>
                <w:szCs w:val="22"/>
              </w:rPr>
            </w:pPr>
          </w:p>
        </w:tc>
        <w:tc>
          <w:tcPr>
            <w:tcW w:w="1649" w:type="dxa"/>
            <w:tcBorders>
              <w:top w:val="nil"/>
              <w:left w:val="nil"/>
              <w:bottom w:val="single" w:sz="4" w:space="0" w:color="auto"/>
              <w:right w:val="single" w:sz="4" w:space="0" w:color="auto"/>
            </w:tcBorders>
            <w:noWrap/>
            <w:vAlign w:val="bottom"/>
          </w:tcPr>
          <w:p w14:paraId="54BA0A14" w14:textId="23DBA1A3" w:rsidR="0070207A" w:rsidRPr="00CD5AD1" w:rsidRDefault="0070207A" w:rsidP="0070207A">
            <w:pPr>
              <w:rPr>
                <w:rFonts w:asciiTheme="minorHAnsi" w:hAnsiTheme="minorHAnsi" w:cstheme="minorHAnsi"/>
                <w:color w:val="000000"/>
                <w:sz w:val="22"/>
                <w:szCs w:val="22"/>
              </w:rPr>
            </w:pPr>
          </w:p>
        </w:tc>
        <w:tc>
          <w:tcPr>
            <w:tcW w:w="1292" w:type="dxa"/>
            <w:tcBorders>
              <w:top w:val="nil"/>
              <w:left w:val="nil"/>
              <w:bottom w:val="single" w:sz="4" w:space="0" w:color="auto"/>
              <w:right w:val="single" w:sz="4" w:space="0" w:color="auto"/>
            </w:tcBorders>
            <w:noWrap/>
            <w:vAlign w:val="bottom"/>
          </w:tcPr>
          <w:p w14:paraId="0021873F" w14:textId="2517F9EC" w:rsidR="0070207A" w:rsidRPr="00CD5AD1" w:rsidRDefault="0070207A" w:rsidP="0070207A">
            <w:pPr>
              <w:rPr>
                <w:rFonts w:asciiTheme="minorHAnsi" w:hAnsiTheme="minorHAnsi" w:cstheme="minorHAnsi"/>
                <w:color w:val="000000"/>
                <w:sz w:val="22"/>
                <w:szCs w:val="22"/>
              </w:rPr>
            </w:pPr>
          </w:p>
        </w:tc>
      </w:tr>
      <w:tr w:rsidR="00F62AC8" w:rsidRPr="00CD5AD1" w14:paraId="6C98BDA0"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tcPr>
          <w:p w14:paraId="6DB25CDB" w14:textId="4F0A1E8B" w:rsidR="00F62AC8" w:rsidRPr="00CD5AD1" w:rsidRDefault="00F62AC8" w:rsidP="00F62AC8">
            <w:pPr>
              <w:rPr>
                <w:rFonts w:asciiTheme="minorHAnsi" w:hAnsiTheme="minorHAnsi" w:cstheme="minorHAnsi"/>
                <w:color w:val="000000"/>
                <w:sz w:val="22"/>
                <w:szCs w:val="22"/>
              </w:rPr>
            </w:pPr>
            <w:r>
              <w:rPr>
                <w:rFonts w:ascii="Aptos Narrow" w:hAnsi="Aptos Narrow"/>
                <w:sz w:val="22"/>
                <w:szCs w:val="22"/>
              </w:rPr>
              <w:t>Arab</w:t>
            </w:r>
          </w:p>
        </w:tc>
        <w:tc>
          <w:tcPr>
            <w:tcW w:w="2060" w:type="dxa"/>
            <w:tcBorders>
              <w:top w:val="nil"/>
              <w:left w:val="nil"/>
              <w:bottom w:val="single" w:sz="4" w:space="0" w:color="auto"/>
              <w:right w:val="single" w:sz="4" w:space="0" w:color="auto"/>
            </w:tcBorders>
            <w:noWrap/>
            <w:vAlign w:val="bottom"/>
          </w:tcPr>
          <w:p w14:paraId="6EA12C9A" w14:textId="605E0C1C"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0.62%</w:t>
            </w:r>
          </w:p>
        </w:tc>
        <w:tc>
          <w:tcPr>
            <w:tcW w:w="1649" w:type="dxa"/>
            <w:tcBorders>
              <w:top w:val="nil"/>
              <w:left w:val="nil"/>
              <w:bottom w:val="single" w:sz="4" w:space="0" w:color="auto"/>
              <w:right w:val="single" w:sz="4" w:space="0" w:color="auto"/>
            </w:tcBorders>
            <w:noWrap/>
            <w:vAlign w:val="bottom"/>
          </w:tcPr>
          <w:p w14:paraId="3838F147" w14:textId="06C2555C"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0.52%</w:t>
            </w:r>
          </w:p>
        </w:tc>
        <w:tc>
          <w:tcPr>
            <w:tcW w:w="1292" w:type="dxa"/>
            <w:tcBorders>
              <w:top w:val="nil"/>
              <w:left w:val="nil"/>
              <w:bottom w:val="single" w:sz="4" w:space="0" w:color="auto"/>
              <w:right w:val="single" w:sz="4" w:space="0" w:color="auto"/>
            </w:tcBorders>
            <w:noWrap/>
            <w:vAlign w:val="bottom"/>
          </w:tcPr>
          <w:p w14:paraId="7B8D08D5" w14:textId="11EE505D"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-0.09%</w:t>
            </w:r>
          </w:p>
        </w:tc>
      </w:tr>
      <w:tr w:rsidR="00F62AC8" w:rsidRPr="00CD5AD1" w14:paraId="3882BDD6"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50B5265C" w14:textId="1D3CC1DA" w:rsidR="00F62AC8" w:rsidRPr="00CD5AD1" w:rsidRDefault="00F62AC8" w:rsidP="00F62AC8">
            <w:pPr>
              <w:rPr>
                <w:rFonts w:asciiTheme="minorHAnsi" w:hAnsiTheme="minorHAnsi" w:cstheme="minorHAnsi"/>
                <w:color w:val="000000"/>
                <w:sz w:val="22"/>
                <w:szCs w:val="22"/>
              </w:rPr>
            </w:pPr>
            <w:r>
              <w:rPr>
                <w:rFonts w:ascii="Aptos Narrow" w:hAnsi="Aptos Narrow"/>
                <w:sz w:val="22"/>
                <w:szCs w:val="22"/>
              </w:rPr>
              <w:t>Asian</w:t>
            </w:r>
          </w:p>
        </w:tc>
        <w:tc>
          <w:tcPr>
            <w:tcW w:w="2060" w:type="dxa"/>
            <w:tcBorders>
              <w:top w:val="nil"/>
              <w:left w:val="nil"/>
              <w:bottom w:val="single" w:sz="4" w:space="0" w:color="auto"/>
              <w:right w:val="single" w:sz="4" w:space="0" w:color="auto"/>
            </w:tcBorders>
            <w:noWrap/>
            <w:vAlign w:val="bottom"/>
          </w:tcPr>
          <w:p w14:paraId="508D8A5C" w14:textId="04E8C59C"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3.05%</w:t>
            </w:r>
          </w:p>
        </w:tc>
        <w:tc>
          <w:tcPr>
            <w:tcW w:w="1649" w:type="dxa"/>
            <w:tcBorders>
              <w:top w:val="nil"/>
              <w:left w:val="nil"/>
              <w:bottom w:val="single" w:sz="4" w:space="0" w:color="auto"/>
              <w:right w:val="single" w:sz="4" w:space="0" w:color="auto"/>
            </w:tcBorders>
            <w:noWrap/>
            <w:vAlign w:val="bottom"/>
          </w:tcPr>
          <w:p w14:paraId="6101DDB0" w14:textId="7F9EC864"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3.09%</w:t>
            </w:r>
          </w:p>
        </w:tc>
        <w:tc>
          <w:tcPr>
            <w:tcW w:w="1292" w:type="dxa"/>
            <w:tcBorders>
              <w:top w:val="nil"/>
              <w:left w:val="nil"/>
              <w:bottom w:val="single" w:sz="4" w:space="0" w:color="auto"/>
              <w:right w:val="single" w:sz="4" w:space="0" w:color="auto"/>
            </w:tcBorders>
            <w:noWrap/>
            <w:vAlign w:val="bottom"/>
          </w:tcPr>
          <w:p w14:paraId="1FA282DB" w14:textId="3E54E631"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0.03%</w:t>
            </w:r>
          </w:p>
        </w:tc>
      </w:tr>
      <w:tr w:rsidR="00F62AC8" w:rsidRPr="00CD5AD1" w14:paraId="4D6B3DD5"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0AB99004" w14:textId="28EFEB7C" w:rsidR="00F62AC8" w:rsidRPr="00CD5AD1" w:rsidRDefault="00F62AC8" w:rsidP="00F62AC8">
            <w:pPr>
              <w:rPr>
                <w:rFonts w:asciiTheme="minorHAnsi" w:hAnsiTheme="minorHAnsi" w:cstheme="minorHAnsi"/>
                <w:color w:val="000000"/>
                <w:sz w:val="22"/>
                <w:szCs w:val="22"/>
              </w:rPr>
            </w:pPr>
            <w:r>
              <w:rPr>
                <w:rFonts w:ascii="Aptos Narrow" w:hAnsi="Aptos Narrow"/>
                <w:sz w:val="22"/>
                <w:szCs w:val="22"/>
              </w:rPr>
              <w:t>Black</w:t>
            </w:r>
          </w:p>
        </w:tc>
        <w:tc>
          <w:tcPr>
            <w:tcW w:w="2060" w:type="dxa"/>
            <w:tcBorders>
              <w:top w:val="nil"/>
              <w:left w:val="nil"/>
              <w:bottom w:val="single" w:sz="4" w:space="0" w:color="auto"/>
              <w:right w:val="single" w:sz="4" w:space="0" w:color="auto"/>
            </w:tcBorders>
            <w:noWrap/>
            <w:vAlign w:val="bottom"/>
          </w:tcPr>
          <w:p w14:paraId="0BD691B1" w14:textId="37EC44BC"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2.26%</w:t>
            </w:r>
          </w:p>
        </w:tc>
        <w:tc>
          <w:tcPr>
            <w:tcW w:w="1649" w:type="dxa"/>
            <w:tcBorders>
              <w:top w:val="nil"/>
              <w:left w:val="nil"/>
              <w:bottom w:val="single" w:sz="4" w:space="0" w:color="auto"/>
              <w:right w:val="single" w:sz="4" w:space="0" w:color="auto"/>
            </w:tcBorders>
            <w:noWrap/>
            <w:vAlign w:val="bottom"/>
          </w:tcPr>
          <w:p w14:paraId="419FFB88" w14:textId="2228472D"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2.30%</w:t>
            </w:r>
          </w:p>
        </w:tc>
        <w:tc>
          <w:tcPr>
            <w:tcW w:w="1292" w:type="dxa"/>
            <w:tcBorders>
              <w:top w:val="nil"/>
              <w:left w:val="nil"/>
              <w:bottom w:val="single" w:sz="4" w:space="0" w:color="auto"/>
              <w:right w:val="single" w:sz="4" w:space="0" w:color="auto"/>
            </w:tcBorders>
            <w:noWrap/>
            <w:vAlign w:val="bottom"/>
          </w:tcPr>
          <w:p w14:paraId="31816E25" w14:textId="5AD97EA7"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0.04%</w:t>
            </w:r>
          </w:p>
        </w:tc>
      </w:tr>
      <w:tr w:rsidR="00F62AC8" w:rsidRPr="00CD5AD1" w14:paraId="0EBBA06F"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262FFDA8" w14:textId="7F79A011" w:rsidR="00F62AC8" w:rsidRPr="00CD5AD1" w:rsidRDefault="00F62AC8" w:rsidP="00F62AC8">
            <w:pPr>
              <w:rPr>
                <w:rFonts w:asciiTheme="minorHAnsi" w:hAnsiTheme="minorHAnsi" w:cstheme="minorHAnsi"/>
                <w:color w:val="000000"/>
                <w:sz w:val="22"/>
                <w:szCs w:val="22"/>
              </w:rPr>
            </w:pPr>
            <w:r>
              <w:rPr>
                <w:rFonts w:ascii="Aptos Narrow" w:hAnsi="Aptos Narrow"/>
                <w:sz w:val="22"/>
                <w:szCs w:val="22"/>
              </w:rPr>
              <w:t>Chinese</w:t>
            </w:r>
          </w:p>
        </w:tc>
        <w:tc>
          <w:tcPr>
            <w:tcW w:w="2060" w:type="dxa"/>
            <w:tcBorders>
              <w:top w:val="nil"/>
              <w:left w:val="nil"/>
              <w:bottom w:val="single" w:sz="4" w:space="0" w:color="auto"/>
              <w:right w:val="single" w:sz="4" w:space="0" w:color="auto"/>
            </w:tcBorders>
            <w:noWrap/>
            <w:vAlign w:val="bottom"/>
          </w:tcPr>
          <w:p w14:paraId="1A22D161" w14:textId="01CB841C"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0.17%</w:t>
            </w:r>
          </w:p>
        </w:tc>
        <w:tc>
          <w:tcPr>
            <w:tcW w:w="1649" w:type="dxa"/>
            <w:tcBorders>
              <w:top w:val="nil"/>
              <w:left w:val="nil"/>
              <w:bottom w:val="single" w:sz="4" w:space="0" w:color="auto"/>
              <w:right w:val="single" w:sz="4" w:space="0" w:color="auto"/>
            </w:tcBorders>
            <w:noWrap/>
            <w:vAlign w:val="bottom"/>
          </w:tcPr>
          <w:p w14:paraId="44C72452" w14:textId="149468DD"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0.31%</w:t>
            </w:r>
          </w:p>
        </w:tc>
        <w:tc>
          <w:tcPr>
            <w:tcW w:w="1292" w:type="dxa"/>
            <w:tcBorders>
              <w:top w:val="nil"/>
              <w:left w:val="nil"/>
              <w:bottom w:val="single" w:sz="4" w:space="0" w:color="auto"/>
              <w:right w:val="single" w:sz="4" w:space="0" w:color="auto"/>
            </w:tcBorders>
            <w:noWrap/>
            <w:vAlign w:val="bottom"/>
          </w:tcPr>
          <w:p w14:paraId="26C92C77" w14:textId="1D5B6EE3"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0.14%</w:t>
            </w:r>
          </w:p>
        </w:tc>
      </w:tr>
      <w:tr w:rsidR="00F62AC8" w:rsidRPr="00CD5AD1" w14:paraId="023D6FF5"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4F067593" w14:textId="0CC260A7" w:rsidR="00F62AC8" w:rsidRPr="00CD5AD1" w:rsidRDefault="00F62AC8" w:rsidP="00F62AC8">
            <w:pPr>
              <w:rPr>
                <w:rFonts w:asciiTheme="minorHAnsi" w:hAnsiTheme="minorHAnsi" w:cstheme="minorHAnsi"/>
                <w:color w:val="000000"/>
                <w:sz w:val="22"/>
                <w:szCs w:val="22"/>
              </w:rPr>
            </w:pPr>
            <w:r>
              <w:rPr>
                <w:rFonts w:ascii="Aptos Narrow" w:hAnsi="Aptos Narrow"/>
                <w:sz w:val="22"/>
                <w:szCs w:val="22"/>
              </w:rPr>
              <w:t>Mixed</w:t>
            </w:r>
          </w:p>
        </w:tc>
        <w:tc>
          <w:tcPr>
            <w:tcW w:w="2060" w:type="dxa"/>
            <w:tcBorders>
              <w:top w:val="nil"/>
              <w:left w:val="nil"/>
              <w:bottom w:val="single" w:sz="4" w:space="0" w:color="auto"/>
              <w:right w:val="single" w:sz="4" w:space="0" w:color="auto"/>
            </w:tcBorders>
            <w:noWrap/>
            <w:vAlign w:val="bottom"/>
          </w:tcPr>
          <w:p w14:paraId="45D96B88" w14:textId="378CC75B"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1.79%</w:t>
            </w:r>
          </w:p>
        </w:tc>
        <w:tc>
          <w:tcPr>
            <w:tcW w:w="1649" w:type="dxa"/>
            <w:tcBorders>
              <w:top w:val="nil"/>
              <w:left w:val="nil"/>
              <w:bottom w:val="single" w:sz="4" w:space="0" w:color="auto"/>
              <w:right w:val="single" w:sz="4" w:space="0" w:color="auto"/>
            </w:tcBorders>
            <w:noWrap/>
            <w:vAlign w:val="bottom"/>
          </w:tcPr>
          <w:p w14:paraId="40FF2629" w14:textId="6508F27D"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1.83%</w:t>
            </w:r>
          </w:p>
        </w:tc>
        <w:tc>
          <w:tcPr>
            <w:tcW w:w="1292" w:type="dxa"/>
            <w:tcBorders>
              <w:top w:val="nil"/>
              <w:left w:val="nil"/>
              <w:bottom w:val="single" w:sz="4" w:space="0" w:color="auto"/>
              <w:right w:val="single" w:sz="4" w:space="0" w:color="auto"/>
            </w:tcBorders>
            <w:noWrap/>
            <w:vAlign w:val="bottom"/>
          </w:tcPr>
          <w:p w14:paraId="1767C000" w14:textId="231583A6"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0.04%</w:t>
            </w:r>
          </w:p>
        </w:tc>
      </w:tr>
      <w:tr w:rsidR="00F62AC8" w:rsidRPr="00CD5AD1" w14:paraId="6DDA4797"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09FCC713" w14:textId="36E4C4D4" w:rsidR="00F62AC8" w:rsidRPr="00CD5AD1" w:rsidRDefault="00F62AC8" w:rsidP="00F62AC8">
            <w:pPr>
              <w:rPr>
                <w:rFonts w:asciiTheme="minorHAnsi" w:hAnsiTheme="minorHAnsi" w:cstheme="minorHAnsi"/>
                <w:color w:val="000000"/>
                <w:sz w:val="22"/>
                <w:szCs w:val="22"/>
              </w:rPr>
            </w:pPr>
            <w:r>
              <w:rPr>
                <w:rFonts w:ascii="Aptos Narrow" w:hAnsi="Aptos Narrow"/>
                <w:sz w:val="22"/>
                <w:szCs w:val="22"/>
              </w:rPr>
              <w:t>Not Specified</w:t>
            </w:r>
          </w:p>
        </w:tc>
        <w:tc>
          <w:tcPr>
            <w:tcW w:w="2060" w:type="dxa"/>
            <w:tcBorders>
              <w:top w:val="nil"/>
              <w:left w:val="nil"/>
              <w:bottom w:val="single" w:sz="4" w:space="0" w:color="auto"/>
              <w:right w:val="single" w:sz="4" w:space="0" w:color="auto"/>
            </w:tcBorders>
            <w:noWrap/>
            <w:vAlign w:val="bottom"/>
          </w:tcPr>
          <w:p w14:paraId="416DD8CE" w14:textId="52C47D44"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2.93%</w:t>
            </w:r>
          </w:p>
        </w:tc>
        <w:tc>
          <w:tcPr>
            <w:tcW w:w="1649" w:type="dxa"/>
            <w:tcBorders>
              <w:top w:val="nil"/>
              <w:left w:val="nil"/>
              <w:bottom w:val="single" w:sz="4" w:space="0" w:color="auto"/>
              <w:right w:val="single" w:sz="4" w:space="0" w:color="auto"/>
            </w:tcBorders>
            <w:noWrap/>
            <w:vAlign w:val="bottom"/>
          </w:tcPr>
          <w:p w14:paraId="2E232A73" w14:textId="2F51A433"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1.88%</w:t>
            </w:r>
          </w:p>
        </w:tc>
        <w:tc>
          <w:tcPr>
            <w:tcW w:w="1292" w:type="dxa"/>
            <w:tcBorders>
              <w:top w:val="nil"/>
              <w:left w:val="nil"/>
              <w:bottom w:val="single" w:sz="4" w:space="0" w:color="auto"/>
              <w:right w:val="single" w:sz="4" w:space="0" w:color="auto"/>
            </w:tcBorders>
            <w:noWrap/>
            <w:vAlign w:val="bottom"/>
          </w:tcPr>
          <w:p w14:paraId="16203D3F" w14:textId="4451DEA0"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-1.05%</w:t>
            </w:r>
          </w:p>
        </w:tc>
      </w:tr>
      <w:tr w:rsidR="00F62AC8" w:rsidRPr="00CD5AD1" w14:paraId="50061082"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69F9646A" w14:textId="23E7035D" w:rsidR="00F62AC8" w:rsidRPr="00CD5AD1" w:rsidRDefault="00F62AC8" w:rsidP="00F62AC8">
            <w:pPr>
              <w:rPr>
                <w:rFonts w:asciiTheme="minorHAnsi" w:hAnsiTheme="minorHAnsi" w:cstheme="minorHAnsi"/>
                <w:color w:val="000000"/>
                <w:sz w:val="22"/>
                <w:szCs w:val="22"/>
              </w:rPr>
            </w:pPr>
            <w:r>
              <w:rPr>
                <w:rFonts w:ascii="Aptos Narrow" w:hAnsi="Aptos Narrow"/>
                <w:sz w:val="22"/>
                <w:szCs w:val="22"/>
              </w:rPr>
              <w:t>Other</w:t>
            </w:r>
          </w:p>
        </w:tc>
        <w:tc>
          <w:tcPr>
            <w:tcW w:w="2060" w:type="dxa"/>
            <w:tcBorders>
              <w:top w:val="nil"/>
              <w:left w:val="nil"/>
              <w:bottom w:val="single" w:sz="4" w:space="0" w:color="auto"/>
              <w:right w:val="single" w:sz="4" w:space="0" w:color="auto"/>
            </w:tcBorders>
            <w:noWrap/>
            <w:vAlign w:val="bottom"/>
          </w:tcPr>
          <w:p w14:paraId="1F8E1A64" w14:textId="66B31E4A"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8.65%</w:t>
            </w:r>
          </w:p>
        </w:tc>
        <w:tc>
          <w:tcPr>
            <w:tcW w:w="1649" w:type="dxa"/>
            <w:tcBorders>
              <w:top w:val="nil"/>
              <w:left w:val="nil"/>
              <w:bottom w:val="single" w:sz="4" w:space="0" w:color="auto"/>
              <w:right w:val="single" w:sz="4" w:space="0" w:color="auto"/>
            </w:tcBorders>
            <w:noWrap/>
            <w:vAlign w:val="bottom"/>
          </w:tcPr>
          <w:p w14:paraId="299726AD" w14:textId="4448B19A"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6.96%</w:t>
            </w:r>
          </w:p>
        </w:tc>
        <w:tc>
          <w:tcPr>
            <w:tcW w:w="1292" w:type="dxa"/>
            <w:tcBorders>
              <w:top w:val="nil"/>
              <w:left w:val="nil"/>
              <w:bottom w:val="single" w:sz="4" w:space="0" w:color="auto"/>
              <w:right w:val="single" w:sz="4" w:space="0" w:color="auto"/>
            </w:tcBorders>
            <w:noWrap/>
            <w:vAlign w:val="bottom"/>
          </w:tcPr>
          <w:p w14:paraId="26B3851A" w14:textId="2126652D"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-1.70%</w:t>
            </w:r>
          </w:p>
        </w:tc>
      </w:tr>
      <w:tr w:rsidR="00F62AC8" w:rsidRPr="00CD5AD1" w14:paraId="5ABF844C"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13B431CE" w14:textId="13E5EEB5" w:rsidR="00F62AC8" w:rsidRPr="00CD5AD1" w:rsidRDefault="00F62AC8" w:rsidP="00F62AC8">
            <w:pPr>
              <w:rPr>
                <w:rFonts w:asciiTheme="minorHAnsi" w:hAnsiTheme="minorHAnsi" w:cstheme="minorHAnsi"/>
                <w:color w:val="000000"/>
                <w:sz w:val="22"/>
                <w:szCs w:val="22"/>
              </w:rPr>
            </w:pPr>
            <w:r>
              <w:rPr>
                <w:rFonts w:ascii="Aptos Narrow" w:hAnsi="Aptos Narrow"/>
                <w:sz w:val="22"/>
                <w:szCs w:val="22"/>
              </w:rPr>
              <w:t>White</w:t>
            </w:r>
          </w:p>
        </w:tc>
        <w:tc>
          <w:tcPr>
            <w:tcW w:w="2060" w:type="dxa"/>
            <w:tcBorders>
              <w:top w:val="nil"/>
              <w:left w:val="nil"/>
              <w:bottom w:val="single" w:sz="4" w:space="0" w:color="auto"/>
              <w:right w:val="single" w:sz="4" w:space="0" w:color="auto"/>
            </w:tcBorders>
            <w:noWrap/>
            <w:vAlign w:val="bottom"/>
          </w:tcPr>
          <w:p w14:paraId="02E778DE" w14:textId="56CC2F32"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80.53%</w:t>
            </w:r>
          </w:p>
        </w:tc>
        <w:tc>
          <w:tcPr>
            <w:tcW w:w="1649" w:type="dxa"/>
            <w:tcBorders>
              <w:top w:val="nil"/>
              <w:left w:val="nil"/>
              <w:bottom w:val="single" w:sz="4" w:space="0" w:color="auto"/>
              <w:right w:val="single" w:sz="4" w:space="0" w:color="auto"/>
            </w:tcBorders>
            <w:noWrap/>
            <w:vAlign w:val="bottom"/>
          </w:tcPr>
          <w:p w14:paraId="051485A3" w14:textId="6E568215"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82.48%</w:t>
            </w:r>
          </w:p>
        </w:tc>
        <w:tc>
          <w:tcPr>
            <w:tcW w:w="1292" w:type="dxa"/>
            <w:tcBorders>
              <w:top w:val="nil"/>
              <w:left w:val="nil"/>
              <w:bottom w:val="single" w:sz="4" w:space="0" w:color="auto"/>
              <w:right w:val="single" w:sz="4" w:space="0" w:color="auto"/>
            </w:tcBorders>
            <w:noWrap/>
            <w:vAlign w:val="bottom"/>
          </w:tcPr>
          <w:p w14:paraId="7F577F67" w14:textId="510CDB8B" w:rsidR="00F62AC8" w:rsidRPr="00CD5AD1" w:rsidRDefault="00F62AC8" w:rsidP="00F62AC8">
            <w:pPr>
              <w:jc w:val="right"/>
              <w:rPr>
                <w:rFonts w:asciiTheme="minorHAnsi" w:hAnsiTheme="minorHAnsi" w:cstheme="minorHAnsi"/>
                <w:color w:val="000000"/>
                <w:sz w:val="22"/>
                <w:szCs w:val="22"/>
              </w:rPr>
            </w:pPr>
            <w:r>
              <w:rPr>
                <w:rFonts w:ascii="Aptos Narrow" w:hAnsi="Aptos Narrow"/>
                <w:sz w:val="22"/>
                <w:szCs w:val="22"/>
              </w:rPr>
              <w:t>1.95%</w:t>
            </w:r>
          </w:p>
        </w:tc>
      </w:tr>
      <w:tr w:rsidR="0070207A" w:rsidRPr="00CD5AD1" w14:paraId="254A2FC1"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5F431358" w14:textId="77777777" w:rsidR="0070207A" w:rsidRPr="00CD5AD1" w:rsidRDefault="0070207A" w:rsidP="0070207A">
            <w:pPr>
              <w:rPr>
                <w:rFonts w:asciiTheme="minorHAnsi" w:hAnsiTheme="minorHAnsi" w:cstheme="minorHAnsi"/>
                <w:b/>
                <w:bCs/>
                <w:color w:val="000000"/>
                <w:sz w:val="22"/>
                <w:szCs w:val="22"/>
              </w:rPr>
            </w:pPr>
            <w:r w:rsidRPr="00CD5AD1">
              <w:rPr>
                <w:rFonts w:asciiTheme="minorHAnsi" w:hAnsiTheme="minorHAnsi" w:cstheme="minorHAnsi"/>
                <w:b/>
                <w:bCs/>
                <w:color w:val="000000"/>
                <w:sz w:val="22"/>
                <w:szCs w:val="22"/>
              </w:rPr>
              <w:t>Property Type</w:t>
            </w:r>
          </w:p>
        </w:tc>
        <w:tc>
          <w:tcPr>
            <w:tcW w:w="2060" w:type="dxa"/>
            <w:tcBorders>
              <w:top w:val="nil"/>
              <w:left w:val="nil"/>
              <w:bottom w:val="single" w:sz="4" w:space="0" w:color="auto"/>
              <w:right w:val="single" w:sz="4" w:space="0" w:color="auto"/>
            </w:tcBorders>
            <w:noWrap/>
            <w:vAlign w:val="bottom"/>
          </w:tcPr>
          <w:p w14:paraId="2B49F3CE" w14:textId="3D76DDAC" w:rsidR="0070207A" w:rsidRPr="00CD5AD1" w:rsidRDefault="0070207A" w:rsidP="0070207A">
            <w:pPr>
              <w:rPr>
                <w:rFonts w:asciiTheme="minorHAnsi" w:hAnsiTheme="minorHAnsi" w:cstheme="minorHAnsi"/>
                <w:color w:val="000000"/>
                <w:sz w:val="22"/>
                <w:szCs w:val="22"/>
              </w:rPr>
            </w:pPr>
          </w:p>
        </w:tc>
        <w:tc>
          <w:tcPr>
            <w:tcW w:w="1649" w:type="dxa"/>
            <w:tcBorders>
              <w:top w:val="nil"/>
              <w:left w:val="nil"/>
              <w:bottom w:val="single" w:sz="4" w:space="0" w:color="auto"/>
              <w:right w:val="single" w:sz="4" w:space="0" w:color="auto"/>
            </w:tcBorders>
            <w:noWrap/>
            <w:vAlign w:val="bottom"/>
          </w:tcPr>
          <w:p w14:paraId="4F1B01B3" w14:textId="5F5AE7AE" w:rsidR="0070207A" w:rsidRPr="00CD5AD1" w:rsidRDefault="0070207A" w:rsidP="0070207A">
            <w:pPr>
              <w:rPr>
                <w:rFonts w:asciiTheme="minorHAnsi" w:hAnsiTheme="minorHAnsi" w:cstheme="minorHAnsi"/>
                <w:color w:val="000000"/>
                <w:sz w:val="22"/>
                <w:szCs w:val="22"/>
              </w:rPr>
            </w:pPr>
          </w:p>
        </w:tc>
        <w:tc>
          <w:tcPr>
            <w:tcW w:w="1292" w:type="dxa"/>
            <w:tcBorders>
              <w:top w:val="nil"/>
              <w:left w:val="nil"/>
              <w:bottom w:val="single" w:sz="4" w:space="0" w:color="auto"/>
              <w:right w:val="single" w:sz="4" w:space="0" w:color="auto"/>
            </w:tcBorders>
            <w:noWrap/>
            <w:vAlign w:val="bottom"/>
          </w:tcPr>
          <w:p w14:paraId="5A1CFE07" w14:textId="65C20587" w:rsidR="0070207A" w:rsidRPr="00CD5AD1" w:rsidRDefault="0070207A" w:rsidP="0070207A">
            <w:pPr>
              <w:rPr>
                <w:rFonts w:asciiTheme="minorHAnsi" w:hAnsiTheme="minorHAnsi" w:cstheme="minorHAnsi"/>
                <w:color w:val="000000"/>
                <w:sz w:val="22"/>
                <w:szCs w:val="22"/>
              </w:rPr>
            </w:pPr>
          </w:p>
        </w:tc>
      </w:tr>
      <w:tr w:rsidR="00CE421F" w:rsidRPr="00CE421F" w14:paraId="03160F97"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1764C3ED" w14:textId="77777777" w:rsidR="00CE421F" w:rsidRPr="00CE421F" w:rsidRDefault="00CE421F" w:rsidP="00CE421F">
            <w:pPr>
              <w:rPr>
                <w:rFonts w:asciiTheme="minorHAnsi" w:hAnsiTheme="minorHAnsi" w:cstheme="minorHAnsi"/>
                <w:color w:val="000000"/>
                <w:sz w:val="22"/>
                <w:szCs w:val="22"/>
              </w:rPr>
            </w:pPr>
            <w:r w:rsidRPr="00CE421F">
              <w:rPr>
                <w:rFonts w:asciiTheme="minorHAnsi" w:hAnsiTheme="minorHAnsi" w:cstheme="minorHAnsi"/>
                <w:color w:val="000000"/>
                <w:sz w:val="22"/>
                <w:szCs w:val="22"/>
              </w:rPr>
              <w:t>Bungalow</w:t>
            </w:r>
          </w:p>
        </w:tc>
        <w:tc>
          <w:tcPr>
            <w:tcW w:w="2060" w:type="dxa"/>
            <w:tcBorders>
              <w:top w:val="nil"/>
              <w:left w:val="nil"/>
              <w:bottom w:val="single" w:sz="4" w:space="0" w:color="auto"/>
              <w:right w:val="single" w:sz="4" w:space="0" w:color="auto"/>
            </w:tcBorders>
            <w:noWrap/>
            <w:vAlign w:val="bottom"/>
          </w:tcPr>
          <w:p w14:paraId="0FBD2761"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4.25%</w:t>
            </w:r>
          </w:p>
        </w:tc>
        <w:tc>
          <w:tcPr>
            <w:tcW w:w="1649" w:type="dxa"/>
            <w:tcBorders>
              <w:top w:val="nil"/>
              <w:left w:val="nil"/>
              <w:bottom w:val="single" w:sz="4" w:space="0" w:color="auto"/>
              <w:right w:val="single" w:sz="4" w:space="0" w:color="auto"/>
            </w:tcBorders>
            <w:noWrap/>
            <w:vAlign w:val="bottom"/>
          </w:tcPr>
          <w:p w14:paraId="669C6444"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5.91%</w:t>
            </w:r>
          </w:p>
        </w:tc>
        <w:tc>
          <w:tcPr>
            <w:tcW w:w="1292" w:type="dxa"/>
            <w:tcBorders>
              <w:top w:val="nil"/>
              <w:left w:val="nil"/>
              <w:bottom w:val="single" w:sz="4" w:space="0" w:color="auto"/>
              <w:right w:val="single" w:sz="4" w:space="0" w:color="auto"/>
            </w:tcBorders>
            <w:noWrap/>
            <w:vAlign w:val="bottom"/>
          </w:tcPr>
          <w:p w14:paraId="18BF6F1B"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1.66%</w:t>
            </w:r>
          </w:p>
        </w:tc>
      </w:tr>
      <w:tr w:rsidR="00CE421F" w:rsidRPr="00CE421F" w14:paraId="6CB690AA"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0060D0DA" w14:textId="77777777" w:rsidR="00CE421F" w:rsidRPr="00CE421F" w:rsidRDefault="00CE421F" w:rsidP="00CE421F">
            <w:pPr>
              <w:rPr>
                <w:rFonts w:asciiTheme="minorHAnsi" w:hAnsiTheme="minorHAnsi" w:cstheme="minorHAnsi"/>
                <w:color w:val="000000"/>
                <w:sz w:val="22"/>
                <w:szCs w:val="22"/>
              </w:rPr>
            </w:pPr>
            <w:r w:rsidRPr="00CE421F">
              <w:rPr>
                <w:rFonts w:asciiTheme="minorHAnsi" w:hAnsiTheme="minorHAnsi" w:cstheme="minorHAnsi"/>
                <w:color w:val="000000"/>
                <w:sz w:val="22"/>
                <w:szCs w:val="22"/>
              </w:rPr>
              <w:t>Flat</w:t>
            </w:r>
          </w:p>
        </w:tc>
        <w:tc>
          <w:tcPr>
            <w:tcW w:w="2060" w:type="dxa"/>
            <w:tcBorders>
              <w:top w:val="nil"/>
              <w:left w:val="nil"/>
              <w:bottom w:val="single" w:sz="4" w:space="0" w:color="auto"/>
              <w:right w:val="single" w:sz="4" w:space="0" w:color="auto"/>
            </w:tcBorders>
            <w:noWrap/>
            <w:vAlign w:val="bottom"/>
          </w:tcPr>
          <w:p w14:paraId="1D38E922"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31.80%</w:t>
            </w:r>
          </w:p>
        </w:tc>
        <w:tc>
          <w:tcPr>
            <w:tcW w:w="1649" w:type="dxa"/>
            <w:tcBorders>
              <w:top w:val="nil"/>
              <w:left w:val="nil"/>
              <w:bottom w:val="single" w:sz="4" w:space="0" w:color="auto"/>
              <w:right w:val="single" w:sz="4" w:space="0" w:color="auto"/>
            </w:tcBorders>
            <w:noWrap/>
            <w:vAlign w:val="bottom"/>
          </w:tcPr>
          <w:p w14:paraId="2B546EBA"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31.64%</w:t>
            </w:r>
          </w:p>
        </w:tc>
        <w:tc>
          <w:tcPr>
            <w:tcW w:w="1292" w:type="dxa"/>
            <w:tcBorders>
              <w:top w:val="nil"/>
              <w:left w:val="nil"/>
              <w:bottom w:val="single" w:sz="4" w:space="0" w:color="auto"/>
              <w:right w:val="single" w:sz="4" w:space="0" w:color="auto"/>
            </w:tcBorders>
            <w:noWrap/>
            <w:vAlign w:val="bottom"/>
          </w:tcPr>
          <w:p w14:paraId="612893AF"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-0.16%</w:t>
            </w:r>
          </w:p>
        </w:tc>
      </w:tr>
      <w:tr w:rsidR="00CE421F" w:rsidRPr="00CE421F" w14:paraId="242D108E"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32D8BFC5" w14:textId="77777777" w:rsidR="00CE421F" w:rsidRPr="00CE421F" w:rsidRDefault="00CE421F" w:rsidP="00CE421F">
            <w:pPr>
              <w:rPr>
                <w:rFonts w:asciiTheme="minorHAnsi" w:hAnsiTheme="minorHAnsi" w:cstheme="minorHAnsi"/>
                <w:color w:val="000000"/>
                <w:sz w:val="22"/>
                <w:szCs w:val="22"/>
              </w:rPr>
            </w:pPr>
            <w:r w:rsidRPr="00CE421F">
              <w:rPr>
                <w:rFonts w:asciiTheme="minorHAnsi" w:hAnsiTheme="minorHAnsi" w:cstheme="minorHAnsi"/>
                <w:color w:val="000000"/>
                <w:sz w:val="22"/>
                <w:szCs w:val="22"/>
              </w:rPr>
              <w:t>Hostel Flat</w:t>
            </w:r>
          </w:p>
        </w:tc>
        <w:tc>
          <w:tcPr>
            <w:tcW w:w="2060" w:type="dxa"/>
            <w:tcBorders>
              <w:top w:val="nil"/>
              <w:left w:val="nil"/>
              <w:bottom w:val="single" w:sz="4" w:space="0" w:color="auto"/>
              <w:right w:val="single" w:sz="4" w:space="0" w:color="auto"/>
            </w:tcBorders>
            <w:noWrap/>
            <w:vAlign w:val="bottom"/>
          </w:tcPr>
          <w:p w14:paraId="4041C5B4"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0.63%</w:t>
            </w:r>
          </w:p>
        </w:tc>
        <w:tc>
          <w:tcPr>
            <w:tcW w:w="1649" w:type="dxa"/>
            <w:tcBorders>
              <w:top w:val="nil"/>
              <w:left w:val="nil"/>
              <w:bottom w:val="single" w:sz="4" w:space="0" w:color="auto"/>
              <w:right w:val="single" w:sz="4" w:space="0" w:color="auto"/>
            </w:tcBorders>
            <w:noWrap/>
            <w:vAlign w:val="bottom"/>
          </w:tcPr>
          <w:p w14:paraId="364A5BC3"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0.26%</w:t>
            </w:r>
          </w:p>
        </w:tc>
        <w:tc>
          <w:tcPr>
            <w:tcW w:w="1292" w:type="dxa"/>
            <w:tcBorders>
              <w:top w:val="nil"/>
              <w:left w:val="nil"/>
              <w:bottom w:val="single" w:sz="4" w:space="0" w:color="auto"/>
              <w:right w:val="single" w:sz="4" w:space="0" w:color="auto"/>
            </w:tcBorders>
            <w:noWrap/>
            <w:vAlign w:val="bottom"/>
          </w:tcPr>
          <w:p w14:paraId="5DAF2BB8"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-0.37%</w:t>
            </w:r>
          </w:p>
        </w:tc>
      </w:tr>
      <w:tr w:rsidR="00CE421F" w:rsidRPr="00CE421F" w14:paraId="0E1A1AB8"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6FE0E1D6" w14:textId="77777777" w:rsidR="00CE421F" w:rsidRPr="00CE421F" w:rsidRDefault="00CE421F" w:rsidP="00CE421F">
            <w:pPr>
              <w:rPr>
                <w:rFonts w:asciiTheme="minorHAnsi" w:hAnsiTheme="minorHAnsi" w:cstheme="minorHAnsi"/>
                <w:color w:val="000000"/>
                <w:sz w:val="22"/>
                <w:szCs w:val="22"/>
              </w:rPr>
            </w:pPr>
            <w:r w:rsidRPr="00CE421F">
              <w:rPr>
                <w:rFonts w:asciiTheme="minorHAnsi" w:hAnsiTheme="minorHAnsi" w:cstheme="minorHAnsi"/>
                <w:color w:val="000000"/>
                <w:sz w:val="22"/>
                <w:szCs w:val="22"/>
              </w:rPr>
              <w:t>House</w:t>
            </w:r>
          </w:p>
        </w:tc>
        <w:tc>
          <w:tcPr>
            <w:tcW w:w="2060" w:type="dxa"/>
            <w:tcBorders>
              <w:top w:val="nil"/>
              <w:left w:val="nil"/>
              <w:bottom w:val="single" w:sz="4" w:space="0" w:color="auto"/>
              <w:right w:val="single" w:sz="4" w:space="0" w:color="auto"/>
            </w:tcBorders>
            <w:noWrap/>
            <w:vAlign w:val="bottom"/>
          </w:tcPr>
          <w:p w14:paraId="2144CF2C"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41.25%</w:t>
            </w:r>
          </w:p>
        </w:tc>
        <w:tc>
          <w:tcPr>
            <w:tcW w:w="1649" w:type="dxa"/>
            <w:tcBorders>
              <w:top w:val="nil"/>
              <w:left w:val="nil"/>
              <w:bottom w:val="single" w:sz="4" w:space="0" w:color="auto"/>
              <w:right w:val="single" w:sz="4" w:space="0" w:color="auto"/>
            </w:tcBorders>
            <w:noWrap/>
            <w:vAlign w:val="bottom"/>
          </w:tcPr>
          <w:p w14:paraId="67CC8B58"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34.41%</w:t>
            </w:r>
          </w:p>
        </w:tc>
        <w:tc>
          <w:tcPr>
            <w:tcW w:w="1292" w:type="dxa"/>
            <w:tcBorders>
              <w:top w:val="nil"/>
              <w:left w:val="nil"/>
              <w:bottom w:val="single" w:sz="4" w:space="0" w:color="auto"/>
              <w:right w:val="single" w:sz="4" w:space="0" w:color="auto"/>
            </w:tcBorders>
            <w:noWrap/>
            <w:vAlign w:val="bottom"/>
          </w:tcPr>
          <w:p w14:paraId="2D0AB04C"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-6.84%</w:t>
            </w:r>
          </w:p>
        </w:tc>
      </w:tr>
      <w:tr w:rsidR="00CE421F" w:rsidRPr="00CE421F" w14:paraId="084525DD"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1A7FC6C9" w14:textId="77777777" w:rsidR="00CE421F" w:rsidRPr="00CE421F" w:rsidRDefault="00CE421F" w:rsidP="00CE421F">
            <w:pPr>
              <w:rPr>
                <w:rFonts w:asciiTheme="minorHAnsi" w:hAnsiTheme="minorHAnsi" w:cstheme="minorHAnsi"/>
                <w:color w:val="000000"/>
                <w:sz w:val="22"/>
                <w:szCs w:val="22"/>
              </w:rPr>
            </w:pPr>
            <w:r w:rsidRPr="00CE421F">
              <w:rPr>
                <w:rFonts w:asciiTheme="minorHAnsi" w:hAnsiTheme="minorHAnsi" w:cstheme="minorHAnsi"/>
                <w:color w:val="000000"/>
                <w:sz w:val="22"/>
                <w:szCs w:val="22"/>
              </w:rPr>
              <w:t>Maisonette</w:t>
            </w:r>
          </w:p>
        </w:tc>
        <w:tc>
          <w:tcPr>
            <w:tcW w:w="2060" w:type="dxa"/>
            <w:tcBorders>
              <w:top w:val="nil"/>
              <w:left w:val="nil"/>
              <w:bottom w:val="single" w:sz="4" w:space="0" w:color="auto"/>
              <w:right w:val="single" w:sz="4" w:space="0" w:color="auto"/>
            </w:tcBorders>
            <w:noWrap/>
            <w:vAlign w:val="bottom"/>
          </w:tcPr>
          <w:p w14:paraId="32F9BA81"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2.73%</w:t>
            </w:r>
          </w:p>
        </w:tc>
        <w:tc>
          <w:tcPr>
            <w:tcW w:w="1649" w:type="dxa"/>
            <w:tcBorders>
              <w:top w:val="nil"/>
              <w:left w:val="nil"/>
              <w:bottom w:val="single" w:sz="4" w:space="0" w:color="auto"/>
              <w:right w:val="single" w:sz="4" w:space="0" w:color="auto"/>
            </w:tcBorders>
            <w:noWrap/>
            <w:vAlign w:val="bottom"/>
          </w:tcPr>
          <w:p w14:paraId="3174A428"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2.51%</w:t>
            </w:r>
          </w:p>
        </w:tc>
        <w:tc>
          <w:tcPr>
            <w:tcW w:w="1292" w:type="dxa"/>
            <w:tcBorders>
              <w:top w:val="nil"/>
              <w:left w:val="nil"/>
              <w:bottom w:val="single" w:sz="4" w:space="0" w:color="auto"/>
              <w:right w:val="single" w:sz="4" w:space="0" w:color="auto"/>
            </w:tcBorders>
            <w:noWrap/>
            <w:vAlign w:val="bottom"/>
          </w:tcPr>
          <w:p w14:paraId="62CA5C55"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-0.22%</w:t>
            </w:r>
          </w:p>
        </w:tc>
      </w:tr>
      <w:tr w:rsidR="00CE421F" w:rsidRPr="00CE421F" w14:paraId="67AA0C56"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5FCA41DC" w14:textId="77777777" w:rsidR="00CE421F" w:rsidRPr="00CE421F" w:rsidRDefault="00CE421F" w:rsidP="00CE421F">
            <w:pPr>
              <w:rPr>
                <w:rFonts w:asciiTheme="minorHAnsi" w:hAnsiTheme="minorHAnsi" w:cstheme="minorHAnsi"/>
                <w:color w:val="000000"/>
                <w:sz w:val="22"/>
                <w:szCs w:val="22"/>
              </w:rPr>
            </w:pPr>
            <w:r w:rsidRPr="00CE421F">
              <w:rPr>
                <w:rFonts w:asciiTheme="minorHAnsi" w:hAnsiTheme="minorHAnsi" w:cstheme="minorHAnsi"/>
                <w:color w:val="000000"/>
                <w:sz w:val="22"/>
                <w:szCs w:val="22"/>
              </w:rPr>
              <w:t>Multi-Storey</w:t>
            </w:r>
          </w:p>
        </w:tc>
        <w:tc>
          <w:tcPr>
            <w:tcW w:w="2060" w:type="dxa"/>
            <w:tcBorders>
              <w:top w:val="nil"/>
              <w:left w:val="nil"/>
              <w:bottom w:val="single" w:sz="4" w:space="0" w:color="auto"/>
              <w:right w:val="single" w:sz="4" w:space="0" w:color="auto"/>
            </w:tcBorders>
            <w:noWrap/>
            <w:vAlign w:val="bottom"/>
          </w:tcPr>
          <w:p w14:paraId="6D4D8610"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16.13%</w:t>
            </w:r>
          </w:p>
        </w:tc>
        <w:tc>
          <w:tcPr>
            <w:tcW w:w="1649" w:type="dxa"/>
            <w:tcBorders>
              <w:top w:val="nil"/>
              <w:left w:val="nil"/>
              <w:bottom w:val="single" w:sz="4" w:space="0" w:color="auto"/>
              <w:right w:val="single" w:sz="4" w:space="0" w:color="auto"/>
            </w:tcBorders>
            <w:noWrap/>
            <w:vAlign w:val="bottom"/>
          </w:tcPr>
          <w:p w14:paraId="521CF84A"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17.52%</w:t>
            </w:r>
          </w:p>
        </w:tc>
        <w:tc>
          <w:tcPr>
            <w:tcW w:w="1292" w:type="dxa"/>
            <w:tcBorders>
              <w:top w:val="nil"/>
              <w:left w:val="nil"/>
              <w:bottom w:val="single" w:sz="4" w:space="0" w:color="auto"/>
              <w:right w:val="single" w:sz="4" w:space="0" w:color="auto"/>
            </w:tcBorders>
            <w:noWrap/>
            <w:vAlign w:val="bottom"/>
          </w:tcPr>
          <w:p w14:paraId="3C6E1F0D"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1.39%</w:t>
            </w:r>
          </w:p>
        </w:tc>
      </w:tr>
      <w:tr w:rsidR="00CE421F" w:rsidRPr="00CE421F" w14:paraId="35A61C74" w14:textId="77777777" w:rsidTr="00CE421F">
        <w:trPr>
          <w:trHeight w:val="300"/>
        </w:trPr>
        <w:tc>
          <w:tcPr>
            <w:tcW w:w="3780" w:type="dxa"/>
            <w:tcBorders>
              <w:top w:val="nil"/>
              <w:left w:val="single" w:sz="4" w:space="0" w:color="auto"/>
              <w:bottom w:val="single" w:sz="4" w:space="0" w:color="auto"/>
              <w:right w:val="single" w:sz="4" w:space="0" w:color="auto"/>
            </w:tcBorders>
            <w:noWrap/>
            <w:vAlign w:val="bottom"/>
            <w:hideMark/>
          </w:tcPr>
          <w:p w14:paraId="01A83E8D" w14:textId="77777777" w:rsidR="00CE421F" w:rsidRPr="00CE421F" w:rsidRDefault="00CE421F" w:rsidP="00CE421F">
            <w:pPr>
              <w:rPr>
                <w:rFonts w:asciiTheme="minorHAnsi" w:hAnsiTheme="minorHAnsi" w:cstheme="minorHAnsi"/>
                <w:color w:val="000000"/>
                <w:sz w:val="22"/>
                <w:szCs w:val="22"/>
              </w:rPr>
            </w:pPr>
            <w:r w:rsidRPr="00CE421F">
              <w:rPr>
                <w:rFonts w:asciiTheme="minorHAnsi" w:hAnsiTheme="minorHAnsi" w:cstheme="minorHAnsi"/>
                <w:color w:val="000000"/>
                <w:sz w:val="22"/>
                <w:szCs w:val="22"/>
              </w:rPr>
              <w:t>Studio</w:t>
            </w:r>
          </w:p>
        </w:tc>
        <w:tc>
          <w:tcPr>
            <w:tcW w:w="2060" w:type="dxa"/>
            <w:tcBorders>
              <w:top w:val="nil"/>
              <w:left w:val="nil"/>
              <w:bottom w:val="single" w:sz="4" w:space="0" w:color="auto"/>
              <w:right w:val="single" w:sz="4" w:space="0" w:color="auto"/>
            </w:tcBorders>
            <w:noWrap/>
            <w:vAlign w:val="bottom"/>
          </w:tcPr>
          <w:p w14:paraId="2E744BA4"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3.21%</w:t>
            </w:r>
          </w:p>
        </w:tc>
        <w:tc>
          <w:tcPr>
            <w:tcW w:w="1649" w:type="dxa"/>
            <w:tcBorders>
              <w:top w:val="nil"/>
              <w:left w:val="nil"/>
              <w:bottom w:val="single" w:sz="4" w:space="0" w:color="auto"/>
              <w:right w:val="single" w:sz="4" w:space="0" w:color="auto"/>
            </w:tcBorders>
            <w:noWrap/>
            <w:vAlign w:val="bottom"/>
          </w:tcPr>
          <w:p w14:paraId="3E8690B2"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3.19%</w:t>
            </w:r>
          </w:p>
        </w:tc>
        <w:tc>
          <w:tcPr>
            <w:tcW w:w="1292" w:type="dxa"/>
            <w:tcBorders>
              <w:top w:val="nil"/>
              <w:left w:val="nil"/>
              <w:bottom w:val="single" w:sz="4" w:space="0" w:color="auto"/>
              <w:right w:val="single" w:sz="4" w:space="0" w:color="auto"/>
            </w:tcBorders>
            <w:noWrap/>
            <w:vAlign w:val="bottom"/>
          </w:tcPr>
          <w:p w14:paraId="4B69D1E5" w14:textId="77777777" w:rsidR="00CE421F" w:rsidRPr="00CE421F" w:rsidRDefault="00CE421F" w:rsidP="00CE421F">
            <w:pPr>
              <w:jc w:val="right"/>
              <w:rPr>
                <w:rFonts w:asciiTheme="minorHAnsi" w:hAnsiTheme="minorHAnsi" w:cstheme="minorHAnsi"/>
                <w:color w:val="000000"/>
                <w:sz w:val="22"/>
                <w:szCs w:val="22"/>
              </w:rPr>
            </w:pPr>
            <w:r w:rsidRPr="00CE421F">
              <w:rPr>
                <w:rFonts w:asciiTheme="minorHAnsi" w:hAnsiTheme="minorHAnsi" w:cstheme="minorHAnsi"/>
                <w:color w:val="000000"/>
                <w:sz w:val="22"/>
                <w:szCs w:val="22"/>
              </w:rPr>
              <w:t>-0.02%</w:t>
            </w:r>
          </w:p>
        </w:tc>
      </w:tr>
    </w:tbl>
    <w:p w14:paraId="67866E6B" w14:textId="77777777" w:rsidR="00A65345" w:rsidRDefault="00A65345" w:rsidP="004C5E11">
      <w:pPr>
        <w:rPr>
          <w:rFonts w:asciiTheme="minorHAnsi" w:hAnsiTheme="minorHAnsi" w:cstheme="minorHAnsi"/>
          <w:color w:val="FF0000"/>
        </w:rPr>
      </w:pPr>
    </w:p>
    <w:p w14:paraId="4B018A51" w14:textId="77777777" w:rsidR="007E19CC" w:rsidRPr="007E19CC" w:rsidRDefault="007E19CC" w:rsidP="007E19CC">
      <w:pPr>
        <w:rPr>
          <w:rFonts w:asciiTheme="minorHAnsi" w:hAnsiTheme="minorHAnsi" w:cstheme="minorHAnsi"/>
          <w:u w:val="single"/>
        </w:rPr>
      </w:pPr>
      <w:r w:rsidRPr="007E19CC">
        <w:rPr>
          <w:rFonts w:asciiTheme="minorHAnsi" w:hAnsiTheme="minorHAnsi" w:cstheme="minorHAnsi"/>
          <w:u w:val="single"/>
        </w:rPr>
        <w:t>Differences in who responded</w:t>
      </w:r>
    </w:p>
    <w:p w14:paraId="15242B55" w14:textId="77777777" w:rsidR="007E19CC" w:rsidRPr="007E19CC" w:rsidRDefault="007E19CC" w:rsidP="007E19CC">
      <w:pPr>
        <w:rPr>
          <w:rFonts w:asciiTheme="minorHAnsi" w:hAnsiTheme="minorHAnsi" w:cstheme="minorHAnsi"/>
        </w:rPr>
      </w:pPr>
    </w:p>
    <w:p w14:paraId="279F108E" w14:textId="77777777" w:rsidR="007E19CC" w:rsidRPr="007E19CC" w:rsidRDefault="007E19CC" w:rsidP="007E19CC">
      <w:pPr>
        <w:rPr>
          <w:rFonts w:asciiTheme="minorHAnsi" w:hAnsiTheme="minorHAnsi" w:cstheme="minorHAnsi"/>
        </w:rPr>
      </w:pPr>
      <w:r w:rsidRPr="007E19CC">
        <w:rPr>
          <w:rFonts w:asciiTheme="minorHAnsi" w:hAnsiTheme="minorHAnsi" w:cstheme="minorHAnsi"/>
        </w:rPr>
        <w:t>We found some small differences in the types of tenants who took part in the survey, including:</w:t>
      </w:r>
    </w:p>
    <w:p w14:paraId="1C4AE5AA" w14:textId="77777777" w:rsidR="007E19CC" w:rsidRPr="007E19CC" w:rsidRDefault="007E19CC" w:rsidP="007E19CC">
      <w:pPr>
        <w:rPr>
          <w:rFonts w:asciiTheme="minorHAnsi" w:hAnsiTheme="minorHAnsi" w:cstheme="minorHAnsi"/>
        </w:rPr>
      </w:pPr>
    </w:p>
    <w:p w14:paraId="00596894" w14:textId="77777777" w:rsidR="007E19CC" w:rsidRPr="00D91787" w:rsidRDefault="007E19CC" w:rsidP="00D91787">
      <w:pPr>
        <w:pStyle w:val="ListParagraph"/>
        <w:numPr>
          <w:ilvl w:val="0"/>
          <w:numId w:val="17"/>
        </w:numPr>
        <w:rPr>
          <w:rFonts w:asciiTheme="minorHAnsi" w:hAnsiTheme="minorHAnsi" w:cstheme="minorHAnsi"/>
        </w:rPr>
      </w:pPr>
      <w:r w:rsidRPr="00D91787">
        <w:rPr>
          <w:rFonts w:asciiTheme="minorHAnsi" w:hAnsiTheme="minorHAnsi" w:cstheme="minorHAnsi"/>
        </w:rPr>
        <w:t>Fewer people living in houses took part than expected</w:t>
      </w:r>
    </w:p>
    <w:p w14:paraId="010DA3A0" w14:textId="77777777" w:rsidR="007E19CC" w:rsidRPr="00D91787" w:rsidRDefault="007E19CC" w:rsidP="00D91787">
      <w:pPr>
        <w:pStyle w:val="ListParagraph"/>
        <w:numPr>
          <w:ilvl w:val="0"/>
          <w:numId w:val="17"/>
        </w:numPr>
        <w:rPr>
          <w:rFonts w:asciiTheme="minorHAnsi" w:hAnsiTheme="minorHAnsi" w:cstheme="minorHAnsi"/>
        </w:rPr>
      </w:pPr>
      <w:r w:rsidRPr="00D91787">
        <w:rPr>
          <w:rFonts w:asciiTheme="minorHAnsi" w:hAnsiTheme="minorHAnsi" w:cstheme="minorHAnsi"/>
        </w:rPr>
        <w:t>Fewer people from some working-age groups took part</w:t>
      </w:r>
    </w:p>
    <w:p w14:paraId="034AEAE6" w14:textId="77777777" w:rsidR="007E19CC" w:rsidRPr="00D91787" w:rsidRDefault="007E19CC" w:rsidP="00D91787">
      <w:pPr>
        <w:pStyle w:val="ListParagraph"/>
        <w:numPr>
          <w:ilvl w:val="0"/>
          <w:numId w:val="17"/>
        </w:numPr>
        <w:rPr>
          <w:rFonts w:asciiTheme="minorHAnsi" w:hAnsiTheme="minorHAnsi" w:cstheme="minorHAnsi"/>
        </w:rPr>
      </w:pPr>
      <w:r w:rsidRPr="00D91787">
        <w:rPr>
          <w:rFonts w:asciiTheme="minorHAnsi" w:hAnsiTheme="minorHAnsi" w:cstheme="minorHAnsi"/>
        </w:rPr>
        <w:t>Slightly more people aged over 65 took part</w:t>
      </w:r>
    </w:p>
    <w:p w14:paraId="6C223D20" w14:textId="77777777" w:rsidR="007E19CC" w:rsidRPr="007E19CC" w:rsidRDefault="007E19CC" w:rsidP="007E19CC">
      <w:pPr>
        <w:rPr>
          <w:rFonts w:asciiTheme="minorHAnsi" w:hAnsiTheme="minorHAnsi" w:cstheme="minorHAnsi"/>
        </w:rPr>
      </w:pPr>
    </w:p>
    <w:p w14:paraId="128F2B59" w14:textId="77777777" w:rsidR="00C17842" w:rsidRDefault="00C17842" w:rsidP="007E19CC">
      <w:pPr>
        <w:rPr>
          <w:rFonts w:asciiTheme="minorHAnsi" w:hAnsiTheme="minorHAnsi" w:cstheme="minorHAnsi"/>
        </w:rPr>
      </w:pPr>
    </w:p>
    <w:p w14:paraId="7D0F3089" w14:textId="77777777" w:rsidR="00680253" w:rsidRDefault="00680253" w:rsidP="00983027">
      <w:pPr>
        <w:rPr>
          <w:rFonts w:asciiTheme="minorHAnsi" w:hAnsiTheme="minorHAnsi" w:cstheme="minorHAnsi"/>
        </w:rPr>
      </w:pPr>
    </w:p>
    <w:p w14:paraId="24CFFF59" w14:textId="77777777" w:rsidR="00680253" w:rsidRDefault="00680253" w:rsidP="00983027">
      <w:pPr>
        <w:rPr>
          <w:rFonts w:asciiTheme="minorHAnsi" w:hAnsiTheme="minorHAnsi" w:cstheme="minorHAnsi"/>
        </w:rPr>
      </w:pPr>
    </w:p>
    <w:p w14:paraId="0B944FD4" w14:textId="77777777" w:rsidR="00680253" w:rsidRDefault="00680253" w:rsidP="00983027">
      <w:pPr>
        <w:rPr>
          <w:rFonts w:asciiTheme="minorHAnsi" w:hAnsiTheme="minorHAnsi" w:cstheme="minorHAnsi"/>
        </w:rPr>
      </w:pPr>
    </w:p>
    <w:p w14:paraId="1A273A98" w14:textId="77777777" w:rsidR="00680253" w:rsidRDefault="00680253" w:rsidP="00983027">
      <w:pPr>
        <w:rPr>
          <w:rFonts w:asciiTheme="minorHAnsi" w:hAnsiTheme="minorHAnsi" w:cstheme="minorHAnsi"/>
        </w:rPr>
      </w:pPr>
    </w:p>
    <w:p w14:paraId="48A8CBBA" w14:textId="34288F02" w:rsidR="00091B3A" w:rsidRDefault="00091B3A" w:rsidP="00983027">
      <w:pPr>
        <w:rPr>
          <w:rFonts w:asciiTheme="minorHAnsi" w:hAnsiTheme="minorHAnsi" w:cstheme="minorHAnsi"/>
        </w:rPr>
      </w:pPr>
      <w:r w:rsidRPr="007E19CC">
        <w:rPr>
          <w:rFonts w:asciiTheme="minorHAnsi" w:hAnsiTheme="minorHAnsi" w:cstheme="minorHAnsi"/>
        </w:rPr>
        <w:t xml:space="preserve">We </w:t>
      </w:r>
      <w:r>
        <w:rPr>
          <w:rFonts w:ascii="Calibri" w:hAnsi="Calibri" w:cs="Calibri"/>
        </w:rPr>
        <w:t>reviewed</w:t>
      </w:r>
      <w:r w:rsidRPr="007E19CC">
        <w:rPr>
          <w:rFonts w:asciiTheme="minorHAnsi" w:hAnsiTheme="minorHAnsi" w:cstheme="minorHAnsi"/>
        </w:rPr>
        <w:t xml:space="preserve"> the</w:t>
      </w:r>
      <w:r>
        <w:rPr>
          <w:rFonts w:asciiTheme="minorHAnsi" w:hAnsiTheme="minorHAnsi" w:cstheme="minorHAnsi"/>
        </w:rPr>
        <w:t xml:space="preserve"> </w:t>
      </w:r>
      <w:r>
        <w:rPr>
          <w:rFonts w:ascii="Calibri" w:hAnsi="Calibri" w:cs="Calibri"/>
        </w:rPr>
        <w:t>largest</w:t>
      </w:r>
      <w:r w:rsidRPr="007E19CC">
        <w:rPr>
          <w:rFonts w:asciiTheme="minorHAnsi" w:hAnsiTheme="minorHAnsi" w:cstheme="minorHAnsi"/>
        </w:rPr>
        <w:t xml:space="preserve"> differences and found they </w:t>
      </w:r>
      <w:r>
        <w:rPr>
          <w:rFonts w:ascii="Calibri" w:hAnsi="Calibri" w:cs="Calibri"/>
        </w:rPr>
        <w:t>did</w:t>
      </w:r>
      <w:r w:rsidRPr="007E19CC">
        <w:rPr>
          <w:rFonts w:asciiTheme="minorHAnsi" w:hAnsiTheme="minorHAnsi" w:cstheme="minorHAnsi"/>
        </w:rPr>
        <w:t xml:space="preserve"> not </w:t>
      </w:r>
      <w:r>
        <w:rPr>
          <w:rFonts w:ascii="Calibri" w:hAnsi="Calibri" w:cs="Calibri"/>
        </w:rPr>
        <w:t>significantly affect</w:t>
      </w:r>
      <w:r w:rsidRPr="007E19CC">
        <w:rPr>
          <w:rFonts w:asciiTheme="minorHAnsi" w:hAnsiTheme="minorHAnsi" w:cstheme="minorHAnsi"/>
        </w:rPr>
        <w:t xml:space="preserve"> the overall results</w:t>
      </w:r>
      <w:r>
        <w:rPr>
          <w:rFonts w:ascii="Calibri" w:hAnsi="Calibri" w:cs="Calibri"/>
        </w:rPr>
        <w:t>, due to the high</w:t>
      </w:r>
      <w:r w:rsidRPr="007E19CC">
        <w:rPr>
          <w:rFonts w:asciiTheme="minorHAnsi" w:hAnsiTheme="minorHAnsi" w:cstheme="minorHAnsi"/>
        </w:rPr>
        <w:t xml:space="preserve"> number of responses</w:t>
      </w:r>
      <w:r>
        <w:rPr>
          <w:rFonts w:ascii="Calibri" w:hAnsi="Calibri" w:cs="Calibri"/>
        </w:rPr>
        <w:t xml:space="preserve"> received</w:t>
      </w:r>
      <w:r w:rsidR="000D2C1A">
        <w:rPr>
          <w:rFonts w:asciiTheme="minorHAnsi" w:hAnsiTheme="minorHAnsi" w:cstheme="minorHAnsi"/>
        </w:rPr>
        <w:t xml:space="preserve"> reducing the impact of the imbalance.</w:t>
      </w:r>
    </w:p>
    <w:p w14:paraId="58C60130" w14:textId="77777777" w:rsidR="00F269CE" w:rsidRDefault="00F269CE" w:rsidP="00983027">
      <w:pPr>
        <w:rPr>
          <w:rFonts w:asciiTheme="minorHAnsi" w:hAnsiTheme="minorHAnsi" w:cstheme="minorHAnsi"/>
        </w:rPr>
      </w:pPr>
    </w:p>
    <w:p w14:paraId="0B57E76D" w14:textId="66514264" w:rsidR="00F269CE" w:rsidRPr="00CD5AD1" w:rsidRDefault="00F269CE" w:rsidP="00983027">
      <w:pPr>
        <w:rPr>
          <w:rFonts w:asciiTheme="minorHAnsi" w:hAnsiTheme="minorHAnsi" w:cstheme="minorBidi"/>
        </w:rPr>
      </w:pPr>
      <w:r>
        <w:rPr>
          <w:rFonts w:asciiTheme="minorHAnsi" w:hAnsiTheme="minorHAnsi" w:cstheme="minorHAnsi"/>
        </w:rPr>
        <w:t xml:space="preserve">With a larger number of responses, the results naturally become more balanced because we hear from a wider range of customers.  </w:t>
      </w:r>
      <w:r w:rsidR="004C2ADE">
        <w:rPr>
          <w:rFonts w:asciiTheme="minorHAnsi" w:hAnsiTheme="minorHAnsi" w:cstheme="minorHAnsi"/>
        </w:rPr>
        <w:t xml:space="preserve">This reduces the impact of any one group being slightly over or </w:t>
      </w:r>
      <w:r w:rsidR="00551205">
        <w:rPr>
          <w:rFonts w:asciiTheme="minorHAnsi" w:hAnsiTheme="minorHAnsi" w:cstheme="minorHAnsi"/>
        </w:rPr>
        <w:t>underrepresented</w:t>
      </w:r>
      <w:r w:rsidR="004C2ADE">
        <w:rPr>
          <w:rFonts w:asciiTheme="minorHAnsi" w:hAnsiTheme="minorHAnsi" w:cstheme="minorHAnsi"/>
        </w:rPr>
        <w:t xml:space="preserve">.  </w:t>
      </w:r>
      <w:r w:rsidR="00551205">
        <w:rPr>
          <w:rFonts w:asciiTheme="minorHAnsi" w:hAnsiTheme="minorHAnsi" w:cstheme="minorHAnsi"/>
        </w:rPr>
        <w:t>However, we still check for this using weighting to make sure no particular group is over influencing the results.</w:t>
      </w:r>
    </w:p>
    <w:p w14:paraId="430FAFF4" w14:textId="77777777" w:rsidR="007E19CC" w:rsidRPr="007E19CC" w:rsidRDefault="007E19CC" w:rsidP="007E19CC">
      <w:pPr>
        <w:rPr>
          <w:rFonts w:asciiTheme="minorHAnsi" w:hAnsiTheme="minorHAnsi" w:cstheme="minorHAnsi"/>
        </w:rPr>
      </w:pPr>
    </w:p>
    <w:p w14:paraId="285E3F4C" w14:textId="321AA7AB" w:rsidR="00D91787" w:rsidRDefault="007E19CC" w:rsidP="00B174DC">
      <w:pPr>
        <w:rPr>
          <w:rFonts w:asciiTheme="minorHAnsi" w:hAnsiTheme="minorHAnsi" w:cstheme="minorHAnsi"/>
          <w:color w:val="FF0000"/>
        </w:rPr>
      </w:pPr>
      <w:r w:rsidRPr="007E19CC">
        <w:rPr>
          <w:rFonts w:asciiTheme="minorHAnsi" w:hAnsiTheme="minorHAnsi" w:cstheme="minorHAnsi"/>
        </w:rPr>
        <w:t xml:space="preserve">We </w:t>
      </w:r>
      <w:r w:rsidR="00551205">
        <w:rPr>
          <w:rFonts w:asciiTheme="minorHAnsi" w:hAnsiTheme="minorHAnsi" w:cstheme="minorHAnsi"/>
        </w:rPr>
        <w:t>applied these</w:t>
      </w:r>
      <w:r w:rsidRPr="007E19CC">
        <w:rPr>
          <w:rFonts w:asciiTheme="minorHAnsi" w:hAnsiTheme="minorHAnsi" w:cstheme="minorHAnsi"/>
        </w:rPr>
        <w:t xml:space="preserve"> adjust</w:t>
      </w:r>
      <w:r w:rsidR="00551205">
        <w:rPr>
          <w:rFonts w:asciiTheme="minorHAnsi" w:hAnsiTheme="minorHAnsi" w:cstheme="minorHAnsi"/>
        </w:rPr>
        <w:t>ments</w:t>
      </w:r>
      <w:r w:rsidRPr="007E19CC">
        <w:rPr>
          <w:rFonts w:asciiTheme="minorHAnsi" w:hAnsiTheme="minorHAnsi" w:cstheme="minorHAnsi"/>
        </w:rPr>
        <w:t xml:space="preserve"> (weighting) </w:t>
      </w:r>
      <w:r w:rsidR="00551205">
        <w:rPr>
          <w:rFonts w:asciiTheme="minorHAnsi" w:hAnsiTheme="minorHAnsi" w:cstheme="minorHAnsi"/>
        </w:rPr>
        <w:t xml:space="preserve">to </w:t>
      </w:r>
      <w:r w:rsidRPr="007E19CC">
        <w:rPr>
          <w:rFonts w:asciiTheme="minorHAnsi" w:hAnsiTheme="minorHAnsi" w:cstheme="minorHAnsi"/>
        </w:rPr>
        <w:t xml:space="preserve">the results </w:t>
      </w:r>
      <w:r w:rsidR="00551205">
        <w:rPr>
          <w:rFonts w:asciiTheme="minorHAnsi" w:hAnsiTheme="minorHAnsi" w:cstheme="minorHAnsi"/>
        </w:rPr>
        <w:t xml:space="preserve">to see if it </w:t>
      </w:r>
      <w:r w:rsidRPr="007E19CC">
        <w:rPr>
          <w:rFonts w:asciiTheme="minorHAnsi" w:hAnsiTheme="minorHAnsi" w:cstheme="minorHAnsi"/>
        </w:rPr>
        <w:t>would make a difference. It did not change the overall satisfaction results in any meaningful way, because of this, we are confident that the results, as they are, fairly represent our tenants</w:t>
      </w:r>
      <w:r w:rsidRPr="007E19CC">
        <w:rPr>
          <w:rFonts w:asciiTheme="minorHAnsi" w:hAnsiTheme="minorHAnsi" w:cstheme="minorHAnsi"/>
          <w:color w:val="FF0000"/>
        </w:rPr>
        <w:t>.</w:t>
      </w:r>
    </w:p>
    <w:p w14:paraId="604D60F5" w14:textId="77777777" w:rsidR="00685606" w:rsidRDefault="00685606" w:rsidP="00B174DC">
      <w:pPr>
        <w:rPr>
          <w:rFonts w:asciiTheme="minorHAnsi" w:hAnsiTheme="minorHAnsi" w:cstheme="minorHAnsi"/>
          <w:color w:val="FF0000"/>
        </w:rPr>
      </w:pPr>
    </w:p>
    <w:p w14:paraId="37D2363D" w14:textId="4970002D" w:rsidR="00685606" w:rsidRPr="00A57DBA" w:rsidRDefault="00685606" w:rsidP="00B174DC">
      <w:pPr>
        <w:rPr>
          <w:rFonts w:asciiTheme="minorHAnsi" w:hAnsiTheme="minorHAnsi" w:cstheme="minorHAnsi"/>
        </w:rPr>
      </w:pPr>
      <w:r w:rsidRPr="00A57DBA">
        <w:rPr>
          <w:rFonts w:asciiTheme="minorHAnsi" w:hAnsiTheme="minorHAnsi" w:cstheme="minorHAnsi"/>
        </w:rPr>
        <w:t xml:space="preserve">Also, we routinely check representation throughout the year to ensure the </w:t>
      </w:r>
      <w:r w:rsidR="00A57DBA" w:rsidRPr="00A57DBA">
        <w:rPr>
          <w:rFonts w:asciiTheme="minorHAnsi" w:hAnsiTheme="minorHAnsi" w:cstheme="minorHAnsi"/>
        </w:rPr>
        <w:t xml:space="preserve">final </w:t>
      </w:r>
      <w:r w:rsidRPr="00A57DBA">
        <w:rPr>
          <w:rFonts w:asciiTheme="minorHAnsi" w:hAnsiTheme="minorHAnsi" w:cstheme="minorHAnsi"/>
        </w:rPr>
        <w:t xml:space="preserve">sample </w:t>
      </w:r>
      <w:r w:rsidR="00A57DBA" w:rsidRPr="00A57DBA">
        <w:rPr>
          <w:rFonts w:asciiTheme="minorHAnsi" w:hAnsiTheme="minorHAnsi" w:cstheme="minorHAnsi"/>
        </w:rPr>
        <w:t>achieved at the end of the year is broadly representative of the wider tenant base.</w:t>
      </w:r>
    </w:p>
    <w:p w14:paraId="31718144" w14:textId="77777777" w:rsidR="006742A3" w:rsidRDefault="006742A3" w:rsidP="00B174DC">
      <w:pPr>
        <w:rPr>
          <w:rFonts w:asciiTheme="minorHAnsi" w:hAnsiTheme="minorHAnsi" w:cstheme="minorBidi"/>
          <w:u w:val="single"/>
        </w:rPr>
      </w:pPr>
    </w:p>
    <w:p w14:paraId="4906DADE" w14:textId="296F648F" w:rsidR="00B174DC" w:rsidRPr="00B46E57" w:rsidRDefault="00B46E57" w:rsidP="00B174DC">
      <w:pPr>
        <w:rPr>
          <w:rFonts w:asciiTheme="minorHAnsi" w:hAnsiTheme="minorHAnsi" w:cstheme="minorBidi"/>
          <w:u w:val="single"/>
        </w:rPr>
      </w:pPr>
      <w:r w:rsidRPr="00B46E57">
        <w:rPr>
          <w:rFonts w:asciiTheme="minorHAnsi" w:hAnsiTheme="minorHAnsi" w:cstheme="minorBidi"/>
          <w:u w:val="single"/>
        </w:rPr>
        <w:t>S</w:t>
      </w:r>
      <w:r w:rsidR="00B174DC" w:rsidRPr="00B46E57">
        <w:rPr>
          <w:rFonts w:asciiTheme="minorHAnsi" w:hAnsiTheme="minorHAnsi" w:cstheme="minorBidi"/>
          <w:u w:val="single"/>
        </w:rPr>
        <w:t>ummary</w:t>
      </w:r>
    </w:p>
    <w:p w14:paraId="08FCC48E" w14:textId="77777777" w:rsidR="00B174DC" w:rsidRPr="00B174DC" w:rsidRDefault="00B174DC" w:rsidP="00B174DC">
      <w:pPr>
        <w:rPr>
          <w:rFonts w:asciiTheme="minorHAnsi" w:hAnsiTheme="minorHAnsi" w:cstheme="minorBidi"/>
        </w:rPr>
      </w:pPr>
    </w:p>
    <w:p w14:paraId="27076193" w14:textId="77777777" w:rsidR="00B174DC" w:rsidRPr="00B174DC" w:rsidRDefault="00B174DC" w:rsidP="00B174DC">
      <w:pPr>
        <w:rPr>
          <w:rFonts w:asciiTheme="minorHAnsi" w:hAnsiTheme="minorHAnsi" w:cstheme="minorBidi"/>
        </w:rPr>
      </w:pPr>
      <w:r w:rsidRPr="00B174DC">
        <w:rPr>
          <w:rFonts w:asciiTheme="minorHAnsi" w:hAnsiTheme="minorHAnsi" w:cstheme="minorBidi"/>
        </w:rPr>
        <w:t>We carried out the 2025/26 tenant survey in a clear, fair and reliable way, following all the rules set by the Regulator of Social Housing.</w:t>
      </w:r>
    </w:p>
    <w:p w14:paraId="6136FF98" w14:textId="77777777" w:rsidR="00B174DC" w:rsidRPr="00B174DC" w:rsidRDefault="00B174DC" w:rsidP="00B174DC">
      <w:pPr>
        <w:rPr>
          <w:rFonts w:asciiTheme="minorHAnsi" w:hAnsiTheme="minorHAnsi" w:cstheme="minorBidi"/>
        </w:rPr>
      </w:pPr>
    </w:p>
    <w:p w14:paraId="15F85718" w14:textId="77777777" w:rsidR="00B174DC" w:rsidRPr="00B174DC" w:rsidRDefault="00B174DC" w:rsidP="00B174DC">
      <w:pPr>
        <w:rPr>
          <w:rFonts w:asciiTheme="minorHAnsi" w:hAnsiTheme="minorHAnsi" w:cstheme="minorBidi"/>
        </w:rPr>
      </w:pPr>
      <w:r w:rsidRPr="00B174DC">
        <w:rPr>
          <w:rFonts w:asciiTheme="minorHAnsi" w:hAnsiTheme="minorHAnsi" w:cstheme="minorBidi"/>
        </w:rPr>
        <w:t>We made sure the results are trustworthy by:</w:t>
      </w:r>
    </w:p>
    <w:p w14:paraId="7331E445" w14:textId="77777777" w:rsidR="00B174DC" w:rsidRPr="00B174DC" w:rsidRDefault="00B174DC" w:rsidP="00B174DC">
      <w:pPr>
        <w:rPr>
          <w:rFonts w:asciiTheme="minorHAnsi" w:hAnsiTheme="minorHAnsi" w:cstheme="minorBidi"/>
        </w:rPr>
      </w:pPr>
    </w:p>
    <w:p w14:paraId="5C0F1FE1" w14:textId="77777777" w:rsidR="00B174DC" w:rsidRPr="00B174DC" w:rsidRDefault="00B174DC" w:rsidP="00B174DC">
      <w:pPr>
        <w:pStyle w:val="ListParagraph"/>
        <w:numPr>
          <w:ilvl w:val="0"/>
          <w:numId w:val="15"/>
        </w:numPr>
        <w:rPr>
          <w:rFonts w:asciiTheme="minorHAnsi" w:hAnsiTheme="minorHAnsi" w:cstheme="minorBidi"/>
        </w:rPr>
      </w:pPr>
      <w:r w:rsidRPr="00B174DC">
        <w:rPr>
          <w:rFonts w:asciiTheme="minorHAnsi" w:hAnsiTheme="minorHAnsi" w:cstheme="minorBidi"/>
        </w:rPr>
        <w:t>Collecting a large number of responses from tenants across our homes</w:t>
      </w:r>
    </w:p>
    <w:p w14:paraId="4B46DB78" w14:textId="77777777" w:rsidR="00B174DC" w:rsidRPr="00B174DC" w:rsidRDefault="00B174DC" w:rsidP="00B174DC">
      <w:pPr>
        <w:pStyle w:val="ListParagraph"/>
        <w:numPr>
          <w:ilvl w:val="0"/>
          <w:numId w:val="15"/>
        </w:numPr>
        <w:rPr>
          <w:rFonts w:asciiTheme="minorHAnsi" w:hAnsiTheme="minorHAnsi" w:cstheme="minorBidi"/>
        </w:rPr>
      </w:pPr>
      <w:r w:rsidRPr="00B174DC">
        <w:rPr>
          <w:rFonts w:asciiTheme="minorHAnsi" w:hAnsiTheme="minorHAnsi" w:cstheme="minorBidi"/>
        </w:rPr>
        <w:t>Using a range of survey methods to include as many people as possible</w:t>
      </w:r>
    </w:p>
    <w:p w14:paraId="785E7789" w14:textId="77777777" w:rsidR="00B174DC" w:rsidRPr="00B174DC" w:rsidRDefault="00B174DC" w:rsidP="00B174DC">
      <w:pPr>
        <w:pStyle w:val="ListParagraph"/>
        <w:numPr>
          <w:ilvl w:val="0"/>
          <w:numId w:val="15"/>
        </w:numPr>
        <w:rPr>
          <w:rFonts w:asciiTheme="minorHAnsi" w:hAnsiTheme="minorHAnsi" w:cstheme="minorBidi"/>
        </w:rPr>
      </w:pPr>
      <w:r w:rsidRPr="00B174DC">
        <w:rPr>
          <w:rFonts w:asciiTheme="minorHAnsi" w:hAnsiTheme="minorHAnsi" w:cstheme="minorBidi"/>
        </w:rPr>
        <w:t>Following all required questions, wording and survey standards</w:t>
      </w:r>
    </w:p>
    <w:p w14:paraId="5B1CC704" w14:textId="77777777" w:rsidR="00B174DC" w:rsidRPr="00B174DC" w:rsidRDefault="00B174DC" w:rsidP="00B174DC">
      <w:pPr>
        <w:pStyle w:val="ListParagraph"/>
        <w:numPr>
          <w:ilvl w:val="0"/>
          <w:numId w:val="15"/>
        </w:numPr>
        <w:rPr>
          <w:rFonts w:asciiTheme="minorHAnsi" w:hAnsiTheme="minorHAnsi" w:cstheme="minorBidi"/>
        </w:rPr>
      </w:pPr>
      <w:r w:rsidRPr="00B174DC">
        <w:rPr>
          <w:rFonts w:asciiTheme="minorHAnsi" w:hAnsiTheme="minorHAnsi" w:cstheme="minorBidi"/>
        </w:rPr>
        <w:t>Checking and explaining any differences in how people responded</w:t>
      </w:r>
    </w:p>
    <w:p w14:paraId="7A0BD538" w14:textId="77777777" w:rsidR="00B174DC" w:rsidRPr="00B174DC" w:rsidRDefault="00B174DC" w:rsidP="00B174DC">
      <w:pPr>
        <w:rPr>
          <w:rFonts w:asciiTheme="minorHAnsi" w:hAnsiTheme="minorHAnsi" w:cstheme="minorBidi"/>
        </w:rPr>
      </w:pPr>
    </w:p>
    <w:p w14:paraId="0B1E42D3" w14:textId="32FFAD58" w:rsidR="002622A6" w:rsidRPr="00CD5AD1" w:rsidRDefault="00B174DC" w:rsidP="00B174DC">
      <w:pPr>
        <w:rPr>
          <w:rFonts w:asciiTheme="minorHAnsi" w:hAnsiTheme="minorHAnsi" w:cstheme="minorBidi"/>
        </w:rPr>
      </w:pPr>
      <w:r w:rsidRPr="00B174DC">
        <w:rPr>
          <w:rFonts w:asciiTheme="minorHAnsi" w:hAnsiTheme="minorHAnsi" w:cstheme="minorBidi"/>
        </w:rPr>
        <w:t>Overall, we are confident the results give a fair and accurate picture of tenants’ views.</w:t>
      </w:r>
    </w:p>
    <w:sectPr w:rsidR="002622A6" w:rsidRPr="00CD5AD1" w:rsidSect="00C61D60">
      <w:headerReference w:type="default" r:id="rId10"/>
      <w:footerReference w:type="default" r:id="rId11"/>
      <w:pgSz w:w="11906" w:h="16838"/>
      <w:pgMar w:top="1134"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168A" w14:textId="77777777" w:rsidR="007A460E" w:rsidRDefault="007A460E" w:rsidP="00452963">
      <w:r>
        <w:separator/>
      </w:r>
    </w:p>
  </w:endnote>
  <w:endnote w:type="continuationSeparator" w:id="0">
    <w:p w14:paraId="585528B6" w14:textId="77777777" w:rsidR="007A460E" w:rsidRDefault="007A460E" w:rsidP="00452963">
      <w:r>
        <w:continuationSeparator/>
      </w:r>
    </w:p>
  </w:endnote>
  <w:endnote w:type="continuationNotice" w:id="1">
    <w:p w14:paraId="00754027" w14:textId="77777777" w:rsidR="007A460E" w:rsidRDefault="007A4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FC5B" w14:textId="0AFDC8EA" w:rsidR="00D53177" w:rsidRDefault="00D53177">
    <w:pPr>
      <w:pStyle w:val="Footer"/>
    </w:pPr>
    <w:r>
      <w:rPr>
        <w:noProof/>
      </w:rPr>
      <w:drawing>
        <wp:anchor distT="0" distB="0" distL="114300" distR="114300" simplePos="0" relativeHeight="251658240" behindDoc="0" locked="0" layoutInCell="1" allowOverlap="1" wp14:anchorId="45117FAA" wp14:editId="0E3D090A">
          <wp:simplePos x="0" y="0"/>
          <wp:positionH relativeFrom="margin">
            <wp:align>center</wp:align>
          </wp:positionH>
          <wp:positionV relativeFrom="paragraph">
            <wp:posOffset>-866140</wp:posOffset>
          </wp:positionV>
          <wp:extent cx="7019925" cy="1424305"/>
          <wp:effectExtent l="0" t="0" r="9525" b="4445"/>
          <wp:wrapNone/>
          <wp:docPr id="3" name="Picture 3"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omputer scree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9925" cy="14243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7894" w14:textId="77777777" w:rsidR="007A460E" w:rsidRDefault="007A460E" w:rsidP="00452963">
      <w:r>
        <w:separator/>
      </w:r>
    </w:p>
  </w:footnote>
  <w:footnote w:type="continuationSeparator" w:id="0">
    <w:p w14:paraId="3E65B203" w14:textId="77777777" w:rsidR="007A460E" w:rsidRDefault="007A460E" w:rsidP="00452963">
      <w:r>
        <w:continuationSeparator/>
      </w:r>
    </w:p>
  </w:footnote>
  <w:footnote w:type="continuationNotice" w:id="1">
    <w:p w14:paraId="48229F0C" w14:textId="77777777" w:rsidR="007A460E" w:rsidRDefault="007A46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4C9C" w14:textId="093D4378" w:rsidR="00D61C8C" w:rsidRDefault="000174D9">
    <w:pPr>
      <w:pStyle w:val="Header"/>
    </w:pPr>
    <w:r>
      <w:rPr>
        <w:noProof/>
      </w:rPr>
      <w:drawing>
        <wp:anchor distT="0" distB="0" distL="114300" distR="114300" simplePos="0" relativeHeight="251658241" behindDoc="0" locked="0" layoutInCell="1" allowOverlap="1" wp14:anchorId="0E520B2B" wp14:editId="42120674">
          <wp:simplePos x="0" y="0"/>
          <wp:positionH relativeFrom="column">
            <wp:posOffset>-504825</wp:posOffset>
          </wp:positionH>
          <wp:positionV relativeFrom="paragraph">
            <wp:posOffset>-49530</wp:posOffset>
          </wp:positionV>
          <wp:extent cx="1552575" cy="875022"/>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87502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8D1"/>
    <w:multiLevelType w:val="hybridMultilevel"/>
    <w:tmpl w:val="650A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203C7"/>
    <w:multiLevelType w:val="hybridMultilevel"/>
    <w:tmpl w:val="EFFC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20E4A"/>
    <w:multiLevelType w:val="hybridMultilevel"/>
    <w:tmpl w:val="DFCAD97E"/>
    <w:lvl w:ilvl="0" w:tplc="41A81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C7D54"/>
    <w:multiLevelType w:val="hybridMultilevel"/>
    <w:tmpl w:val="9C68F076"/>
    <w:lvl w:ilvl="0" w:tplc="41A81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C2613"/>
    <w:multiLevelType w:val="hybridMultilevel"/>
    <w:tmpl w:val="A798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668A3"/>
    <w:multiLevelType w:val="hybridMultilevel"/>
    <w:tmpl w:val="EF648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771A6"/>
    <w:multiLevelType w:val="hybridMultilevel"/>
    <w:tmpl w:val="A0FA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F05CF"/>
    <w:multiLevelType w:val="hybridMultilevel"/>
    <w:tmpl w:val="FA4A6B30"/>
    <w:lvl w:ilvl="0" w:tplc="41A81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B0453"/>
    <w:multiLevelType w:val="hybridMultilevel"/>
    <w:tmpl w:val="422606B6"/>
    <w:lvl w:ilvl="0" w:tplc="034E414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B32152"/>
    <w:multiLevelType w:val="hybridMultilevel"/>
    <w:tmpl w:val="0526E316"/>
    <w:lvl w:ilvl="0" w:tplc="41A81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7A33FE"/>
    <w:multiLevelType w:val="hybridMultilevel"/>
    <w:tmpl w:val="B030C616"/>
    <w:lvl w:ilvl="0" w:tplc="41A81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24143B"/>
    <w:multiLevelType w:val="hybridMultilevel"/>
    <w:tmpl w:val="C6F8911E"/>
    <w:lvl w:ilvl="0" w:tplc="034E414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B12C8A"/>
    <w:multiLevelType w:val="hybridMultilevel"/>
    <w:tmpl w:val="A97E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C32C6"/>
    <w:multiLevelType w:val="hybridMultilevel"/>
    <w:tmpl w:val="2942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782906"/>
    <w:multiLevelType w:val="hybridMultilevel"/>
    <w:tmpl w:val="1EB0A998"/>
    <w:lvl w:ilvl="0" w:tplc="41A81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424C1A"/>
    <w:multiLevelType w:val="hybridMultilevel"/>
    <w:tmpl w:val="9E2A622C"/>
    <w:lvl w:ilvl="0" w:tplc="41A81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AA0586"/>
    <w:multiLevelType w:val="hybridMultilevel"/>
    <w:tmpl w:val="33CE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837088">
    <w:abstractNumId w:val="11"/>
  </w:num>
  <w:num w:numId="2" w16cid:durableId="1054425944">
    <w:abstractNumId w:val="8"/>
  </w:num>
  <w:num w:numId="3" w16cid:durableId="733043438">
    <w:abstractNumId w:val="2"/>
  </w:num>
  <w:num w:numId="4" w16cid:durableId="1346860888">
    <w:abstractNumId w:val="9"/>
  </w:num>
  <w:num w:numId="5" w16cid:durableId="1682273753">
    <w:abstractNumId w:val="15"/>
  </w:num>
  <w:num w:numId="6" w16cid:durableId="1434738419">
    <w:abstractNumId w:val="14"/>
  </w:num>
  <w:num w:numId="7" w16cid:durableId="1248615023">
    <w:abstractNumId w:val="3"/>
  </w:num>
  <w:num w:numId="8" w16cid:durableId="838689366">
    <w:abstractNumId w:val="7"/>
  </w:num>
  <w:num w:numId="9" w16cid:durableId="624431406">
    <w:abstractNumId w:val="10"/>
  </w:num>
  <w:num w:numId="10" w16cid:durableId="955911401">
    <w:abstractNumId w:val="0"/>
  </w:num>
  <w:num w:numId="11" w16cid:durableId="356002369">
    <w:abstractNumId w:val="5"/>
  </w:num>
  <w:num w:numId="12" w16cid:durableId="85158071">
    <w:abstractNumId w:val="1"/>
  </w:num>
  <w:num w:numId="13" w16cid:durableId="789595843">
    <w:abstractNumId w:val="12"/>
  </w:num>
  <w:num w:numId="14" w16cid:durableId="1227690626">
    <w:abstractNumId w:val="6"/>
  </w:num>
  <w:num w:numId="15" w16cid:durableId="615064208">
    <w:abstractNumId w:val="4"/>
  </w:num>
  <w:num w:numId="16" w16cid:durableId="1024862222">
    <w:abstractNumId w:val="13"/>
  </w:num>
  <w:num w:numId="17" w16cid:durableId="17987975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ED"/>
    <w:rsid w:val="000019C8"/>
    <w:rsid w:val="00004968"/>
    <w:rsid w:val="00005A96"/>
    <w:rsid w:val="00010B0D"/>
    <w:rsid w:val="00011CB5"/>
    <w:rsid w:val="000138C1"/>
    <w:rsid w:val="00015AAC"/>
    <w:rsid w:val="000174D9"/>
    <w:rsid w:val="00017B13"/>
    <w:rsid w:val="00020B13"/>
    <w:rsid w:val="000212B0"/>
    <w:rsid w:val="00021773"/>
    <w:rsid w:val="000219EB"/>
    <w:rsid w:val="00021C90"/>
    <w:rsid w:val="000224B9"/>
    <w:rsid w:val="00024524"/>
    <w:rsid w:val="000257CD"/>
    <w:rsid w:val="00025C24"/>
    <w:rsid w:val="00030D53"/>
    <w:rsid w:val="00033B89"/>
    <w:rsid w:val="0003480F"/>
    <w:rsid w:val="00037F15"/>
    <w:rsid w:val="000412CD"/>
    <w:rsid w:val="0004156C"/>
    <w:rsid w:val="00041A20"/>
    <w:rsid w:val="000473B4"/>
    <w:rsid w:val="000506B8"/>
    <w:rsid w:val="00050B04"/>
    <w:rsid w:val="00053884"/>
    <w:rsid w:val="00054293"/>
    <w:rsid w:val="00056F71"/>
    <w:rsid w:val="00056FDA"/>
    <w:rsid w:val="0006125D"/>
    <w:rsid w:val="00063A1D"/>
    <w:rsid w:val="0007080A"/>
    <w:rsid w:val="000722BF"/>
    <w:rsid w:val="00072ADA"/>
    <w:rsid w:val="00081673"/>
    <w:rsid w:val="00082941"/>
    <w:rsid w:val="000831EC"/>
    <w:rsid w:val="000835E8"/>
    <w:rsid w:val="00083E1D"/>
    <w:rsid w:val="00084F72"/>
    <w:rsid w:val="0009003D"/>
    <w:rsid w:val="00091B3A"/>
    <w:rsid w:val="00093A73"/>
    <w:rsid w:val="000952DC"/>
    <w:rsid w:val="00096B0A"/>
    <w:rsid w:val="000A4362"/>
    <w:rsid w:val="000A4F93"/>
    <w:rsid w:val="000A5C0B"/>
    <w:rsid w:val="000B2192"/>
    <w:rsid w:val="000B2D89"/>
    <w:rsid w:val="000B2F61"/>
    <w:rsid w:val="000B4384"/>
    <w:rsid w:val="000B5481"/>
    <w:rsid w:val="000B5D22"/>
    <w:rsid w:val="000C3F33"/>
    <w:rsid w:val="000C6239"/>
    <w:rsid w:val="000C6F98"/>
    <w:rsid w:val="000D05D1"/>
    <w:rsid w:val="000D1463"/>
    <w:rsid w:val="000D2C1A"/>
    <w:rsid w:val="000D38FC"/>
    <w:rsid w:val="000D63BB"/>
    <w:rsid w:val="000E083D"/>
    <w:rsid w:val="000E39B0"/>
    <w:rsid w:val="000E43D5"/>
    <w:rsid w:val="000E4E4E"/>
    <w:rsid w:val="000F396B"/>
    <w:rsid w:val="000F595E"/>
    <w:rsid w:val="000F5DD4"/>
    <w:rsid w:val="000F757B"/>
    <w:rsid w:val="000F79AA"/>
    <w:rsid w:val="000F7DBE"/>
    <w:rsid w:val="001051A1"/>
    <w:rsid w:val="0010710E"/>
    <w:rsid w:val="001073F7"/>
    <w:rsid w:val="0011003A"/>
    <w:rsid w:val="00116B7C"/>
    <w:rsid w:val="001174F3"/>
    <w:rsid w:val="001215C9"/>
    <w:rsid w:val="00127D48"/>
    <w:rsid w:val="00132189"/>
    <w:rsid w:val="00134B4A"/>
    <w:rsid w:val="001403D8"/>
    <w:rsid w:val="00140BBF"/>
    <w:rsid w:val="00145031"/>
    <w:rsid w:val="001473D5"/>
    <w:rsid w:val="00147F4E"/>
    <w:rsid w:val="0015175A"/>
    <w:rsid w:val="00152101"/>
    <w:rsid w:val="001523C3"/>
    <w:rsid w:val="001538A4"/>
    <w:rsid w:val="0015427F"/>
    <w:rsid w:val="00155409"/>
    <w:rsid w:val="001568C4"/>
    <w:rsid w:val="00161F9C"/>
    <w:rsid w:val="00162434"/>
    <w:rsid w:val="00164526"/>
    <w:rsid w:val="001663C3"/>
    <w:rsid w:val="00172382"/>
    <w:rsid w:val="00173717"/>
    <w:rsid w:val="001737E9"/>
    <w:rsid w:val="00174112"/>
    <w:rsid w:val="001778F7"/>
    <w:rsid w:val="00180561"/>
    <w:rsid w:val="00180925"/>
    <w:rsid w:val="001839B3"/>
    <w:rsid w:val="00186AA3"/>
    <w:rsid w:val="00193B4A"/>
    <w:rsid w:val="001947BE"/>
    <w:rsid w:val="001A16BF"/>
    <w:rsid w:val="001A1D24"/>
    <w:rsid w:val="001A6369"/>
    <w:rsid w:val="001B04B0"/>
    <w:rsid w:val="001B4F15"/>
    <w:rsid w:val="001C1D6F"/>
    <w:rsid w:val="001C4404"/>
    <w:rsid w:val="001C4A76"/>
    <w:rsid w:val="001D042A"/>
    <w:rsid w:val="001D102A"/>
    <w:rsid w:val="001D25B9"/>
    <w:rsid w:val="001D3813"/>
    <w:rsid w:val="001D391B"/>
    <w:rsid w:val="001D4CEC"/>
    <w:rsid w:val="001D53CC"/>
    <w:rsid w:val="001D5C44"/>
    <w:rsid w:val="001E2B0B"/>
    <w:rsid w:val="001E3633"/>
    <w:rsid w:val="001E4703"/>
    <w:rsid w:val="001E5A88"/>
    <w:rsid w:val="001E5DD4"/>
    <w:rsid w:val="001E6459"/>
    <w:rsid w:val="001F1307"/>
    <w:rsid w:val="001F1978"/>
    <w:rsid w:val="001F1C71"/>
    <w:rsid w:val="001F6897"/>
    <w:rsid w:val="00200C41"/>
    <w:rsid w:val="0020224D"/>
    <w:rsid w:val="00203ED7"/>
    <w:rsid w:val="00204047"/>
    <w:rsid w:val="00204A04"/>
    <w:rsid w:val="002050DF"/>
    <w:rsid w:val="00205B7C"/>
    <w:rsid w:val="00207496"/>
    <w:rsid w:val="00210FF3"/>
    <w:rsid w:val="00212199"/>
    <w:rsid w:val="002137A6"/>
    <w:rsid w:val="002230D8"/>
    <w:rsid w:val="002256D4"/>
    <w:rsid w:val="00230C10"/>
    <w:rsid w:val="00230CCD"/>
    <w:rsid w:val="002312FB"/>
    <w:rsid w:val="002333C7"/>
    <w:rsid w:val="00233431"/>
    <w:rsid w:val="002339A8"/>
    <w:rsid w:val="00233A6B"/>
    <w:rsid w:val="00234432"/>
    <w:rsid w:val="0023509F"/>
    <w:rsid w:val="00235AB4"/>
    <w:rsid w:val="0024091A"/>
    <w:rsid w:val="00243911"/>
    <w:rsid w:val="00244669"/>
    <w:rsid w:val="0024616A"/>
    <w:rsid w:val="00261A03"/>
    <w:rsid w:val="002622A6"/>
    <w:rsid w:val="0026357F"/>
    <w:rsid w:val="002647B9"/>
    <w:rsid w:val="002649CC"/>
    <w:rsid w:val="00266BD5"/>
    <w:rsid w:val="0026702D"/>
    <w:rsid w:val="0027257C"/>
    <w:rsid w:val="0027391C"/>
    <w:rsid w:val="002755A0"/>
    <w:rsid w:val="002804FA"/>
    <w:rsid w:val="002810FD"/>
    <w:rsid w:val="00281CA4"/>
    <w:rsid w:val="00282FA4"/>
    <w:rsid w:val="00283BAE"/>
    <w:rsid w:val="00287E16"/>
    <w:rsid w:val="00293CFC"/>
    <w:rsid w:val="00294037"/>
    <w:rsid w:val="0029487C"/>
    <w:rsid w:val="002950F6"/>
    <w:rsid w:val="002961A2"/>
    <w:rsid w:val="002A08D0"/>
    <w:rsid w:val="002A262D"/>
    <w:rsid w:val="002A2922"/>
    <w:rsid w:val="002A4CFB"/>
    <w:rsid w:val="002A573E"/>
    <w:rsid w:val="002A6ACB"/>
    <w:rsid w:val="002B1F7C"/>
    <w:rsid w:val="002B2F14"/>
    <w:rsid w:val="002B3BB6"/>
    <w:rsid w:val="002B4A63"/>
    <w:rsid w:val="002B5731"/>
    <w:rsid w:val="002B7AD7"/>
    <w:rsid w:val="002C033B"/>
    <w:rsid w:val="002C4C7B"/>
    <w:rsid w:val="002C517E"/>
    <w:rsid w:val="002C51E6"/>
    <w:rsid w:val="002C556C"/>
    <w:rsid w:val="002C59FB"/>
    <w:rsid w:val="002C6F6E"/>
    <w:rsid w:val="002D318E"/>
    <w:rsid w:val="002E0FE9"/>
    <w:rsid w:val="002E1230"/>
    <w:rsid w:val="002E2F22"/>
    <w:rsid w:val="002E32BC"/>
    <w:rsid w:val="002E44DB"/>
    <w:rsid w:val="002E6D7B"/>
    <w:rsid w:val="002F0C5D"/>
    <w:rsid w:val="002F20A1"/>
    <w:rsid w:val="002F5792"/>
    <w:rsid w:val="002F62F8"/>
    <w:rsid w:val="002F67E9"/>
    <w:rsid w:val="0030423C"/>
    <w:rsid w:val="00312048"/>
    <w:rsid w:val="0031274D"/>
    <w:rsid w:val="003149BD"/>
    <w:rsid w:val="00314E78"/>
    <w:rsid w:val="00315283"/>
    <w:rsid w:val="0032321B"/>
    <w:rsid w:val="00323957"/>
    <w:rsid w:val="00326108"/>
    <w:rsid w:val="00326919"/>
    <w:rsid w:val="0032724E"/>
    <w:rsid w:val="0033067F"/>
    <w:rsid w:val="00335378"/>
    <w:rsid w:val="00337BF8"/>
    <w:rsid w:val="0034154C"/>
    <w:rsid w:val="00342FB9"/>
    <w:rsid w:val="00350C6D"/>
    <w:rsid w:val="003548CE"/>
    <w:rsid w:val="00354A3C"/>
    <w:rsid w:val="00357394"/>
    <w:rsid w:val="00360749"/>
    <w:rsid w:val="0036226F"/>
    <w:rsid w:val="00364508"/>
    <w:rsid w:val="00366680"/>
    <w:rsid w:val="00370B3D"/>
    <w:rsid w:val="003711FF"/>
    <w:rsid w:val="003759B1"/>
    <w:rsid w:val="0037692B"/>
    <w:rsid w:val="00377503"/>
    <w:rsid w:val="00381A74"/>
    <w:rsid w:val="003906DE"/>
    <w:rsid w:val="00391124"/>
    <w:rsid w:val="00393DB7"/>
    <w:rsid w:val="00393EBE"/>
    <w:rsid w:val="003955E7"/>
    <w:rsid w:val="00395B4A"/>
    <w:rsid w:val="00395EC6"/>
    <w:rsid w:val="00397211"/>
    <w:rsid w:val="0039757C"/>
    <w:rsid w:val="003A00B7"/>
    <w:rsid w:val="003A1A19"/>
    <w:rsid w:val="003A316B"/>
    <w:rsid w:val="003A3465"/>
    <w:rsid w:val="003A5CE1"/>
    <w:rsid w:val="003A6CF9"/>
    <w:rsid w:val="003B14ED"/>
    <w:rsid w:val="003B1F9A"/>
    <w:rsid w:val="003B3508"/>
    <w:rsid w:val="003B4D34"/>
    <w:rsid w:val="003B5EFF"/>
    <w:rsid w:val="003B6DB3"/>
    <w:rsid w:val="003B71C3"/>
    <w:rsid w:val="003C1E24"/>
    <w:rsid w:val="003C2131"/>
    <w:rsid w:val="003C6289"/>
    <w:rsid w:val="003D2792"/>
    <w:rsid w:val="003D474E"/>
    <w:rsid w:val="003D4EB0"/>
    <w:rsid w:val="003E5DDB"/>
    <w:rsid w:val="003E675A"/>
    <w:rsid w:val="003E6A66"/>
    <w:rsid w:val="003E6DE7"/>
    <w:rsid w:val="003F25FC"/>
    <w:rsid w:val="003F2B01"/>
    <w:rsid w:val="003F3738"/>
    <w:rsid w:val="003F60FA"/>
    <w:rsid w:val="003F6770"/>
    <w:rsid w:val="00402A97"/>
    <w:rsid w:val="00406E5A"/>
    <w:rsid w:val="00407891"/>
    <w:rsid w:val="00411517"/>
    <w:rsid w:val="00411D85"/>
    <w:rsid w:val="00412BAE"/>
    <w:rsid w:val="00413D6A"/>
    <w:rsid w:val="0041595E"/>
    <w:rsid w:val="00417118"/>
    <w:rsid w:val="00421E42"/>
    <w:rsid w:val="00424599"/>
    <w:rsid w:val="00424669"/>
    <w:rsid w:val="00425D77"/>
    <w:rsid w:val="004261CE"/>
    <w:rsid w:val="0043268C"/>
    <w:rsid w:val="00436D20"/>
    <w:rsid w:val="00442C8F"/>
    <w:rsid w:val="00442EE8"/>
    <w:rsid w:val="00445AE1"/>
    <w:rsid w:val="00446161"/>
    <w:rsid w:val="00447473"/>
    <w:rsid w:val="00447675"/>
    <w:rsid w:val="00451E7C"/>
    <w:rsid w:val="00452963"/>
    <w:rsid w:val="00456567"/>
    <w:rsid w:val="0045679A"/>
    <w:rsid w:val="00460F01"/>
    <w:rsid w:val="0046257A"/>
    <w:rsid w:val="004633FE"/>
    <w:rsid w:val="00463A4F"/>
    <w:rsid w:val="00463C08"/>
    <w:rsid w:val="004667B6"/>
    <w:rsid w:val="00472883"/>
    <w:rsid w:val="004831AA"/>
    <w:rsid w:val="00484EFD"/>
    <w:rsid w:val="00485653"/>
    <w:rsid w:val="00486FBD"/>
    <w:rsid w:val="00490AF6"/>
    <w:rsid w:val="00492206"/>
    <w:rsid w:val="00496556"/>
    <w:rsid w:val="004A38A4"/>
    <w:rsid w:val="004A49AB"/>
    <w:rsid w:val="004A5046"/>
    <w:rsid w:val="004A5E70"/>
    <w:rsid w:val="004A63A3"/>
    <w:rsid w:val="004B1ABB"/>
    <w:rsid w:val="004B2E4B"/>
    <w:rsid w:val="004C22D4"/>
    <w:rsid w:val="004C2ADE"/>
    <w:rsid w:val="004C33B3"/>
    <w:rsid w:val="004C5E11"/>
    <w:rsid w:val="004C73FF"/>
    <w:rsid w:val="004C7E05"/>
    <w:rsid w:val="004D18A4"/>
    <w:rsid w:val="004D24A3"/>
    <w:rsid w:val="004D5ADD"/>
    <w:rsid w:val="004E0CA0"/>
    <w:rsid w:val="004E12B7"/>
    <w:rsid w:val="004E1419"/>
    <w:rsid w:val="004E50AB"/>
    <w:rsid w:val="004E5557"/>
    <w:rsid w:val="004F0438"/>
    <w:rsid w:val="004F0FE4"/>
    <w:rsid w:val="00501A59"/>
    <w:rsid w:val="00504054"/>
    <w:rsid w:val="0050549E"/>
    <w:rsid w:val="00511326"/>
    <w:rsid w:val="00513340"/>
    <w:rsid w:val="00516CF6"/>
    <w:rsid w:val="00525622"/>
    <w:rsid w:val="005310EA"/>
    <w:rsid w:val="00531613"/>
    <w:rsid w:val="00531B50"/>
    <w:rsid w:val="00531FE8"/>
    <w:rsid w:val="0053572B"/>
    <w:rsid w:val="00536FD5"/>
    <w:rsid w:val="00541A73"/>
    <w:rsid w:val="005429C1"/>
    <w:rsid w:val="00551205"/>
    <w:rsid w:val="0056289E"/>
    <w:rsid w:val="00565E7F"/>
    <w:rsid w:val="005731DB"/>
    <w:rsid w:val="005752ED"/>
    <w:rsid w:val="005758E5"/>
    <w:rsid w:val="00576CCD"/>
    <w:rsid w:val="005777D2"/>
    <w:rsid w:val="0058337C"/>
    <w:rsid w:val="00583617"/>
    <w:rsid w:val="005907E1"/>
    <w:rsid w:val="005914FF"/>
    <w:rsid w:val="005931CC"/>
    <w:rsid w:val="00596C39"/>
    <w:rsid w:val="005A191D"/>
    <w:rsid w:val="005A52D5"/>
    <w:rsid w:val="005A6F01"/>
    <w:rsid w:val="005A7962"/>
    <w:rsid w:val="005B0111"/>
    <w:rsid w:val="005B0FF8"/>
    <w:rsid w:val="005B23DF"/>
    <w:rsid w:val="005B2AD8"/>
    <w:rsid w:val="005B477D"/>
    <w:rsid w:val="005B4D18"/>
    <w:rsid w:val="005B6D7F"/>
    <w:rsid w:val="005C1BC4"/>
    <w:rsid w:val="005C1FE9"/>
    <w:rsid w:val="005C4327"/>
    <w:rsid w:val="005D2CDC"/>
    <w:rsid w:val="005D306B"/>
    <w:rsid w:val="005D3E53"/>
    <w:rsid w:val="005D469B"/>
    <w:rsid w:val="005E18AA"/>
    <w:rsid w:val="005F122B"/>
    <w:rsid w:val="005F3352"/>
    <w:rsid w:val="005F337A"/>
    <w:rsid w:val="005F466C"/>
    <w:rsid w:val="005F4AEE"/>
    <w:rsid w:val="005F64EA"/>
    <w:rsid w:val="005F653C"/>
    <w:rsid w:val="005F7E83"/>
    <w:rsid w:val="00601734"/>
    <w:rsid w:val="00602BA7"/>
    <w:rsid w:val="00607D68"/>
    <w:rsid w:val="00607F06"/>
    <w:rsid w:val="00615BA6"/>
    <w:rsid w:val="00615D86"/>
    <w:rsid w:val="00620087"/>
    <w:rsid w:val="006221E3"/>
    <w:rsid w:val="0062297C"/>
    <w:rsid w:val="00622F69"/>
    <w:rsid w:val="00626323"/>
    <w:rsid w:val="006318F1"/>
    <w:rsid w:val="00631ADE"/>
    <w:rsid w:val="00634DE8"/>
    <w:rsid w:val="00635861"/>
    <w:rsid w:val="0063665B"/>
    <w:rsid w:val="00640E44"/>
    <w:rsid w:val="00641611"/>
    <w:rsid w:val="006459D8"/>
    <w:rsid w:val="006558B8"/>
    <w:rsid w:val="00656DFF"/>
    <w:rsid w:val="00657117"/>
    <w:rsid w:val="0065743E"/>
    <w:rsid w:val="00661967"/>
    <w:rsid w:val="00664B41"/>
    <w:rsid w:val="00666789"/>
    <w:rsid w:val="006701D3"/>
    <w:rsid w:val="00670F80"/>
    <w:rsid w:val="00671822"/>
    <w:rsid w:val="00673C7D"/>
    <w:rsid w:val="006740B3"/>
    <w:rsid w:val="006742A3"/>
    <w:rsid w:val="00676A29"/>
    <w:rsid w:val="0067717E"/>
    <w:rsid w:val="006775B9"/>
    <w:rsid w:val="00680253"/>
    <w:rsid w:val="006816F5"/>
    <w:rsid w:val="00681735"/>
    <w:rsid w:val="00681BD3"/>
    <w:rsid w:val="00683223"/>
    <w:rsid w:val="00685606"/>
    <w:rsid w:val="00687E83"/>
    <w:rsid w:val="00690C73"/>
    <w:rsid w:val="006926B8"/>
    <w:rsid w:val="006959DD"/>
    <w:rsid w:val="0069693E"/>
    <w:rsid w:val="006A24E0"/>
    <w:rsid w:val="006A40AB"/>
    <w:rsid w:val="006A46E8"/>
    <w:rsid w:val="006A4FB6"/>
    <w:rsid w:val="006A6080"/>
    <w:rsid w:val="006B3638"/>
    <w:rsid w:val="006B4684"/>
    <w:rsid w:val="006C0400"/>
    <w:rsid w:val="006C0A0B"/>
    <w:rsid w:val="006C1C3E"/>
    <w:rsid w:val="006C45F6"/>
    <w:rsid w:val="006C5255"/>
    <w:rsid w:val="006C5977"/>
    <w:rsid w:val="006C6AFE"/>
    <w:rsid w:val="006C7F99"/>
    <w:rsid w:val="006D13CA"/>
    <w:rsid w:val="006D2060"/>
    <w:rsid w:val="006D26A6"/>
    <w:rsid w:val="006D3647"/>
    <w:rsid w:val="006D3EAD"/>
    <w:rsid w:val="006D4BBA"/>
    <w:rsid w:val="006D743C"/>
    <w:rsid w:val="006E01C0"/>
    <w:rsid w:val="006E01E2"/>
    <w:rsid w:val="006E02E1"/>
    <w:rsid w:val="006E064A"/>
    <w:rsid w:val="006E287D"/>
    <w:rsid w:val="006E5EE7"/>
    <w:rsid w:val="006E6543"/>
    <w:rsid w:val="006F0BDE"/>
    <w:rsid w:val="006F157A"/>
    <w:rsid w:val="006F3315"/>
    <w:rsid w:val="0070133E"/>
    <w:rsid w:val="0070207A"/>
    <w:rsid w:val="00702634"/>
    <w:rsid w:val="00710418"/>
    <w:rsid w:val="00710CF1"/>
    <w:rsid w:val="007147DF"/>
    <w:rsid w:val="00717F2B"/>
    <w:rsid w:val="007351C6"/>
    <w:rsid w:val="0073648D"/>
    <w:rsid w:val="0073781B"/>
    <w:rsid w:val="007378B8"/>
    <w:rsid w:val="00740A25"/>
    <w:rsid w:val="007422C5"/>
    <w:rsid w:val="0075070D"/>
    <w:rsid w:val="0075250C"/>
    <w:rsid w:val="0076262E"/>
    <w:rsid w:val="00764DF3"/>
    <w:rsid w:val="00764E85"/>
    <w:rsid w:val="007660C9"/>
    <w:rsid w:val="00766A94"/>
    <w:rsid w:val="00766CA1"/>
    <w:rsid w:val="007738FE"/>
    <w:rsid w:val="00774C1C"/>
    <w:rsid w:val="007767F7"/>
    <w:rsid w:val="00780195"/>
    <w:rsid w:val="007840AA"/>
    <w:rsid w:val="0078496D"/>
    <w:rsid w:val="00787EE5"/>
    <w:rsid w:val="00790A00"/>
    <w:rsid w:val="00792120"/>
    <w:rsid w:val="007A2276"/>
    <w:rsid w:val="007A460E"/>
    <w:rsid w:val="007A5106"/>
    <w:rsid w:val="007B1AA4"/>
    <w:rsid w:val="007B1FD6"/>
    <w:rsid w:val="007C067E"/>
    <w:rsid w:val="007C6454"/>
    <w:rsid w:val="007C733F"/>
    <w:rsid w:val="007D1168"/>
    <w:rsid w:val="007D248E"/>
    <w:rsid w:val="007D5B84"/>
    <w:rsid w:val="007D6FDD"/>
    <w:rsid w:val="007E19CC"/>
    <w:rsid w:val="007E1C0B"/>
    <w:rsid w:val="007E45CD"/>
    <w:rsid w:val="007E744E"/>
    <w:rsid w:val="007E7850"/>
    <w:rsid w:val="007E7C4D"/>
    <w:rsid w:val="007F2338"/>
    <w:rsid w:val="007F40DD"/>
    <w:rsid w:val="007F6673"/>
    <w:rsid w:val="007F683D"/>
    <w:rsid w:val="00804613"/>
    <w:rsid w:val="008055F6"/>
    <w:rsid w:val="00806279"/>
    <w:rsid w:val="00817D22"/>
    <w:rsid w:val="008228C2"/>
    <w:rsid w:val="008270CF"/>
    <w:rsid w:val="00827164"/>
    <w:rsid w:val="0082744D"/>
    <w:rsid w:val="00831054"/>
    <w:rsid w:val="00833723"/>
    <w:rsid w:val="00833C8D"/>
    <w:rsid w:val="00834B78"/>
    <w:rsid w:val="00836C5A"/>
    <w:rsid w:val="00840141"/>
    <w:rsid w:val="00842169"/>
    <w:rsid w:val="00842843"/>
    <w:rsid w:val="00843CBE"/>
    <w:rsid w:val="00844573"/>
    <w:rsid w:val="008445D8"/>
    <w:rsid w:val="008448D5"/>
    <w:rsid w:val="00846136"/>
    <w:rsid w:val="00847E72"/>
    <w:rsid w:val="008516C4"/>
    <w:rsid w:val="0085444A"/>
    <w:rsid w:val="008562F4"/>
    <w:rsid w:val="00857DE1"/>
    <w:rsid w:val="008611BA"/>
    <w:rsid w:val="00862BC0"/>
    <w:rsid w:val="0086407E"/>
    <w:rsid w:val="0086440E"/>
    <w:rsid w:val="00865A70"/>
    <w:rsid w:val="00870E75"/>
    <w:rsid w:val="0087631A"/>
    <w:rsid w:val="0087632C"/>
    <w:rsid w:val="008765A6"/>
    <w:rsid w:val="00877E27"/>
    <w:rsid w:val="00881943"/>
    <w:rsid w:val="00882298"/>
    <w:rsid w:val="0088581D"/>
    <w:rsid w:val="00887B5F"/>
    <w:rsid w:val="008933AF"/>
    <w:rsid w:val="00897F0A"/>
    <w:rsid w:val="008A3135"/>
    <w:rsid w:val="008A62FC"/>
    <w:rsid w:val="008A67F8"/>
    <w:rsid w:val="008A6FF1"/>
    <w:rsid w:val="008A7C92"/>
    <w:rsid w:val="008B16E6"/>
    <w:rsid w:val="008B2AA8"/>
    <w:rsid w:val="008B2C4C"/>
    <w:rsid w:val="008B2D03"/>
    <w:rsid w:val="008B2E0C"/>
    <w:rsid w:val="008B329B"/>
    <w:rsid w:val="008B37E6"/>
    <w:rsid w:val="008B3BD3"/>
    <w:rsid w:val="008B6ECC"/>
    <w:rsid w:val="008C0A26"/>
    <w:rsid w:val="008C1080"/>
    <w:rsid w:val="008C1F7E"/>
    <w:rsid w:val="008C30C9"/>
    <w:rsid w:val="008C55A2"/>
    <w:rsid w:val="008C6C31"/>
    <w:rsid w:val="008D31A6"/>
    <w:rsid w:val="008D3A32"/>
    <w:rsid w:val="008D4BA1"/>
    <w:rsid w:val="008E570A"/>
    <w:rsid w:val="008E63F1"/>
    <w:rsid w:val="008E70F8"/>
    <w:rsid w:val="008F2085"/>
    <w:rsid w:val="008F388E"/>
    <w:rsid w:val="008F47AB"/>
    <w:rsid w:val="008F506B"/>
    <w:rsid w:val="008F65C4"/>
    <w:rsid w:val="008F69A7"/>
    <w:rsid w:val="008F7DF4"/>
    <w:rsid w:val="008F7EA7"/>
    <w:rsid w:val="00903681"/>
    <w:rsid w:val="00904023"/>
    <w:rsid w:val="0090422D"/>
    <w:rsid w:val="0090468D"/>
    <w:rsid w:val="009063EA"/>
    <w:rsid w:val="00906BF9"/>
    <w:rsid w:val="00910E33"/>
    <w:rsid w:val="00914F88"/>
    <w:rsid w:val="009169FB"/>
    <w:rsid w:val="00916F72"/>
    <w:rsid w:val="009179D5"/>
    <w:rsid w:val="00925888"/>
    <w:rsid w:val="00927C49"/>
    <w:rsid w:val="00930556"/>
    <w:rsid w:val="009308AA"/>
    <w:rsid w:val="00931622"/>
    <w:rsid w:val="009339E3"/>
    <w:rsid w:val="00944E1F"/>
    <w:rsid w:val="0094504E"/>
    <w:rsid w:val="00947179"/>
    <w:rsid w:val="00950CC2"/>
    <w:rsid w:val="00956096"/>
    <w:rsid w:val="009560FE"/>
    <w:rsid w:val="00961463"/>
    <w:rsid w:val="0096290C"/>
    <w:rsid w:val="009640B6"/>
    <w:rsid w:val="00964807"/>
    <w:rsid w:val="009710DA"/>
    <w:rsid w:val="00972A22"/>
    <w:rsid w:val="009742AC"/>
    <w:rsid w:val="00975057"/>
    <w:rsid w:val="00976B1C"/>
    <w:rsid w:val="00976F4C"/>
    <w:rsid w:val="00980F65"/>
    <w:rsid w:val="00982038"/>
    <w:rsid w:val="00982240"/>
    <w:rsid w:val="00985949"/>
    <w:rsid w:val="009907AC"/>
    <w:rsid w:val="0099083E"/>
    <w:rsid w:val="0099282A"/>
    <w:rsid w:val="009935B7"/>
    <w:rsid w:val="009968D4"/>
    <w:rsid w:val="009A122C"/>
    <w:rsid w:val="009A19B5"/>
    <w:rsid w:val="009A3593"/>
    <w:rsid w:val="009A4138"/>
    <w:rsid w:val="009B01CE"/>
    <w:rsid w:val="009B480A"/>
    <w:rsid w:val="009B7326"/>
    <w:rsid w:val="009B76A0"/>
    <w:rsid w:val="009C5943"/>
    <w:rsid w:val="009C7B6F"/>
    <w:rsid w:val="009D1073"/>
    <w:rsid w:val="009D38B7"/>
    <w:rsid w:val="009D3AB5"/>
    <w:rsid w:val="009D4CB2"/>
    <w:rsid w:val="009D5580"/>
    <w:rsid w:val="009D5821"/>
    <w:rsid w:val="009D588D"/>
    <w:rsid w:val="009E031F"/>
    <w:rsid w:val="009E173E"/>
    <w:rsid w:val="009E4D08"/>
    <w:rsid w:val="009E53F3"/>
    <w:rsid w:val="009E766A"/>
    <w:rsid w:val="009F5265"/>
    <w:rsid w:val="009F6E5A"/>
    <w:rsid w:val="009F7FFE"/>
    <w:rsid w:val="00A00354"/>
    <w:rsid w:val="00A02DDB"/>
    <w:rsid w:val="00A037FA"/>
    <w:rsid w:val="00A050E3"/>
    <w:rsid w:val="00A06F7E"/>
    <w:rsid w:val="00A12163"/>
    <w:rsid w:val="00A1220B"/>
    <w:rsid w:val="00A127FA"/>
    <w:rsid w:val="00A2192E"/>
    <w:rsid w:val="00A21DB3"/>
    <w:rsid w:val="00A23882"/>
    <w:rsid w:val="00A24074"/>
    <w:rsid w:val="00A24EE4"/>
    <w:rsid w:val="00A25450"/>
    <w:rsid w:val="00A26172"/>
    <w:rsid w:val="00A26174"/>
    <w:rsid w:val="00A26400"/>
    <w:rsid w:val="00A27031"/>
    <w:rsid w:val="00A31858"/>
    <w:rsid w:val="00A31E5F"/>
    <w:rsid w:val="00A3350A"/>
    <w:rsid w:val="00A35CCA"/>
    <w:rsid w:val="00A3686D"/>
    <w:rsid w:val="00A36BC3"/>
    <w:rsid w:val="00A372EE"/>
    <w:rsid w:val="00A375AE"/>
    <w:rsid w:val="00A4009A"/>
    <w:rsid w:val="00A40A64"/>
    <w:rsid w:val="00A40A9D"/>
    <w:rsid w:val="00A41D01"/>
    <w:rsid w:val="00A424F4"/>
    <w:rsid w:val="00A42ED8"/>
    <w:rsid w:val="00A4589B"/>
    <w:rsid w:val="00A5248E"/>
    <w:rsid w:val="00A55342"/>
    <w:rsid w:val="00A5752E"/>
    <w:rsid w:val="00A57DBA"/>
    <w:rsid w:val="00A65345"/>
    <w:rsid w:val="00A667B7"/>
    <w:rsid w:val="00A66EB2"/>
    <w:rsid w:val="00A71AE7"/>
    <w:rsid w:val="00A8326E"/>
    <w:rsid w:val="00A83C3D"/>
    <w:rsid w:val="00A85FEB"/>
    <w:rsid w:val="00A870DB"/>
    <w:rsid w:val="00A91080"/>
    <w:rsid w:val="00A9141B"/>
    <w:rsid w:val="00A96007"/>
    <w:rsid w:val="00AB0B60"/>
    <w:rsid w:val="00AB18F7"/>
    <w:rsid w:val="00AB2D02"/>
    <w:rsid w:val="00AB2D46"/>
    <w:rsid w:val="00AB4AD6"/>
    <w:rsid w:val="00AB5295"/>
    <w:rsid w:val="00AB6085"/>
    <w:rsid w:val="00AC0491"/>
    <w:rsid w:val="00AC239A"/>
    <w:rsid w:val="00AC393D"/>
    <w:rsid w:val="00AC6FDD"/>
    <w:rsid w:val="00AC7B98"/>
    <w:rsid w:val="00AD5621"/>
    <w:rsid w:val="00AD7F05"/>
    <w:rsid w:val="00AD7FBB"/>
    <w:rsid w:val="00AE2604"/>
    <w:rsid w:val="00AE2983"/>
    <w:rsid w:val="00AF00AB"/>
    <w:rsid w:val="00AF41F2"/>
    <w:rsid w:val="00AF5919"/>
    <w:rsid w:val="00B01938"/>
    <w:rsid w:val="00B0391D"/>
    <w:rsid w:val="00B05042"/>
    <w:rsid w:val="00B05188"/>
    <w:rsid w:val="00B066A4"/>
    <w:rsid w:val="00B1362A"/>
    <w:rsid w:val="00B14105"/>
    <w:rsid w:val="00B14F74"/>
    <w:rsid w:val="00B16A5E"/>
    <w:rsid w:val="00B174DC"/>
    <w:rsid w:val="00B20259"/>
    <w:rsid w:val="00B21B45"/>
    <w:rsid w:val="00B223F0"/>
    <w:rsid w:val="00B22FF2"/>
    <w:rsid w:val="00B23775"/>
    <w:rsid w:val="00B251B1"/>
    <w:rsid w:val="00B25229"/>
    <w:rsid w:val="00B25344"/>
    <w:rsid w:val="00B25FBA"/>
    <w:rsid w:val="00B2613D"/>
    <w:rsid w:val="00B27BD1"/>
    <w:rsid w:val="00B310E5"/>
    <w:rsid w:val="00B315EF"/>
    <w:rsid w:val="00B34D81"/>
    <w:rsid w:val="00B35738"/>
    <w:rsid w:val="00B37304"/>
    <w:rsid w:val="00B40BEE"/>
    <w:rsid w:val="00B43F95"/>
    <w:rsid w:val="00B44659"/>
    <w:rsid w:val="00B44799"/>
    <w:rsid w:val="00B46E57"/>
    <w:rsid w:val="00B46EEC"/>
    <w:rsid w:val="00B502A7"/>
    <w:rsid w:val="00B60242"/>
    <w:rsid w:val="00B60538"/>
    <w:rsid w:val="00B60650"/>
    <w:rsid w:val="00B60803"/>
    <w:rsid w:val="00B61305"/>
    <w:rsid w:val="00B61AF5"/>
    <w:rsid w:val="00B633A2"/>
    <w:rsid w:val="00B70463"/>
    <w:rsid w:val="00B757D1"/>
    <w:rsid w:val="00B83905"/>
    <w:rsid w:val="00B937A3"/>
    <w:rsid w:val="00B93904"/>
    <w:rsid w:val="00B9396F"/>
    <w:rsid w:val="00B942AE"/>
    <w:rsid w:val="00BB0E6E"/>
    <w:rsid w:val="00BB3F0A"/>
    <w:rsid w:val="00BB45E4"/>
    <w:rsid w:val="00BB5F75"/>
    <w:rsid w:val="00BC1B34"/>
    <w:rsid w:val="00BC2C38"/>
    <w:rsid w:val="00BC3659"/>
    <w:rsid w:val="00BD1880"/>
    <w:rsid w:val="00BD64F1"/>
    <w:rsid w:val="00BE0FC8"/>
    <w:rsid w:val="00BE28B8"/>
    <w:rsid w:val="00BE3822"/>
    <w:rsid w:val="00BE38D2"/>
    <w:rsid w:val="00BE77DD"/>
    <w:rsid w:val="00BF25DC"/>
    <w:rsid w:val="00BF385C"/>
    <w:rsid w:val="00C02BF1"/>
    <w:rsid w:val="00C0427E"/>
    <w:rsid w:val="00C054D7"/>
    <w:rsid w:val="00C062E3"/>
    <w:rsid w:val="00C077F0"/>
    <w:rsid w:val="00C10720"/>
    <w:rsid w:val="00C12690"/>
    <w:rsid w:val="00C14148"/>
    <w:rsid w:val="00C17484"/>
    <w:rsid w:val="00C17842"/>
    <w:rsid w:val="00C20C75"/>
    <w:rsid w:val="00C21129"/>
    <w:rsid w:val="00C2245B"/>
    <w:rsid w:val="00C253AC"/>
    <w:rsid w:val="00C271F0"/>
    <w:rsid w:val="00C32AA3"/>
    <w:rsid w:val="00C35330"/>
    <w:rsid w:val="00C35F24"/>
    <w:rsid w:val="00C36CD2"/>
    <w:rsid w:val="00C3753B"/>
    <w:rsid w:val="00C40547"/>
    <w:rsid w:val="00C4055A"/>
    <w:rsid w:val="00C42D74"/>
    <w:rsid w:val="00C42E78"/>
    <w:rsid w:val="00C4373E"/>
    <w:rsid w:val="00C438B2"/>
    <w:rsid w:val="00C43FD7"/>
    <w:rsid w:val="00C441F9"/>
    <w:rsid w:val="00C44C24"/>
    <w:rsid w:val="00C457E2"/>
    <w:rsid w:val="00C45930"/>
    <w:rsid w:val="00C468C5"/>
    <w:rsid w:val="00C500E7"/>
    <w:rsid w:val="00C51D90"/>
    <w:rsid w:val="00C5386F"/>
    <w:rsid w:val="00C5393F"/>
    <w:rsid w:val="00C547DA"/>
    <w:rsid w:val="00C55C9F"/>
    <w:rsid w:val="00C56C28"/>
    <w:rsid w:val="00C60A0D"/>
    <w:rsid w:val="00C61584"/>
    <w:rsid w:val="00C61D60"/>
    <w:rsid w:val="00C67076"/>
    <w:rsid w:val="00C673FB"/>
    <w:rsid w:val="00C708D3"/>
    <w:rsid w:val="00C74020"/>
    <w:rsid w:val="00C74B8A"/>
    <w:rsid w:val="00C74C92"/>
    <w:rsid w:val="00C7759D"/>
    <w:rsid w:val="00C77FA5"/>
    <w:rsid w:val="00C81153"/>
    <w:rsid w:val="00C81303"/>
    <w:rsid w:val="00C846CF"/>
    <w:rsid w:val="00C85ED7"/>
    <w:rsid w:val="00C860B0"/>
    <w:rsid w:val="00C919B1"/>
    <w:rsid w:val="00C9756F"/>
    <w:rsid w:val="00CA572B"/>
    <w:rsid w:val="00CA71B3"/>
    <w:rsid w:val="00CB0C01"/>
    <w:rsid w:val="00CB10C6"/>
    <w:rsid w:val="00CB1E91"/>
    <w:rsid w:val="00CB28D9"/>
    <w:rsid w:val="00CB3749"/>
    <w:rsid w:val="00CB37E7"/>
    <w:rsid w:val="00CB65C1"/>
    <w:rsid w:val="00CC02EE"/>
    <w:rsid w:val="00CC4809"/>
    <w:rsid w:val="00CC7612"/>
    <w:rsid w:val="00CD1237"/>
    <w:rsid w:val="00CD2701"/>
    <w:rsid w:val="00CD494D"/>
    <w:rsid w:val="00CD5AD1"/>
    <w:rsid w:val="00CE2069"/>
    <w:rsid w:val="00CE421F"/>
    <w:rsid w:val="00CE4A81"/>
    <w:rsid w:val="00CE7F3A"/>
    <w:rsid w:val="00CF669E"/>
    <w:rsid w:val="00D00EC0"/>
    <w:rsid w:val="00D036FA"/>
    <w:rsid w:val="00D03CAA"/>
    <w:rsid w:val="00D0421E"/>
    <w:rsid w:val="00D04820"/>
    <w:rsid w:val="00D06F51"/>
    <w:rsid w:val="00D07039"/>
    <w:rsid w:val="00D07740"/>
    <w:rsid w:val="00D12A79"/>
    <w:rsid w:val="00D12CA6"/>
    <w:rsid w:val="00D1468B"/>
    <w:rsid w:val="00D16278"/>
    <w:rsid w:val="00D16E21"/>
    <w:rsid w:val="00D17323"/>
    <w:rsid w:val="00D179EC"/>
    <w:rsid w:val="00D17F9A"/>
    <w:rsid w:val="00D21D77"/>
    <w:rsid w:val="00D252F2"/>
    <w:rsid w:val="00D25400"/>
    <w:rsid w:val="00D27B07"/>
    <w:rsid w:val="00D30F69"/>
    <w:rsid w:val="00D316C7"/>
    <w:rsid w:val="00D31C6B"/>
    <w:rsid w:val="00D34A6F"/>
    <w:rsid w:val="00D35C77"/>
    <w:rsid w:val="00D36413"/>
    <w:rsid w:val="00D378E1"/>
    <w:rsid w:val="00D452AB"/>
    <w:rsid w:val="00D46048"/>
    <w:rsid w:val="00D46219"/>
    <w:rsid w:val="00D5262E"/>
    <w:rsid w:val="00D53177"/>
    <w:rsid w:val="00D61C8C"/>
    <w:rsid w:val="00D634D0"/>
    <w:rsid w:val="00D6589A"/>
    <w:rsid w:val="00D66F7E"/>
    <w:rsid w:val="00D774BF"/>
    <w:rsid w:val="00D801D1"/>
    <w:rsid w:val="00D809CF"/>
    <w:rsid w:val="00D822CC"/>
    <w:rsid w:val="00D85B91"/>
    <w:rsid w:val="00D91787"/>
    <w:rsid w:val="00D931BF"/>
    <w:rsid w:val="00D93C31"/>
    <w:rsid w:val="00D94778"/>
    <w:rsid w:val="00D95F3E"/>
    <w:rsid w:val="00D96A30"/>
    <w:rsid w:val="00D97201"/>
    <w:rsid w:val="00DA5C08"/>
    <w:rsid w:val="00DB3A50"/>
    <w:rsid w:val="00DC13B8"/>
    <w:rsid w:val="00DC3B49"/>
    <w:rsid w:val="00DC5617"/>
    <w:rsid w:val="00DD375F"/>
    <w:rsid w:val="00DD3B96"/>
    <w:rsid w:val="00DD3BEA"/>
    <w:rsid w:val="00DD5EA6"/>
    <w:rsid w:val="00DD7B51"/>
    <w:rsid w:val="00DE1C9D"/>
    <w:rsid w:val="00DE2768"/>
    <w:rsid w:val="00DE2E33"/>
    <w:rsid w:val="00DE59E8"/>
    <w:rsid w:val="00DE64E6"/>
    <w:rsid w:val="00DF103C"/>
    <w:rsid w:val="00DF132E"/>
    <w:rsid w:val="00DF45F0"/>
    <w:rsid w:val="00DF6FAE"/>
    <w:rsid w:val="00DF70ED"/>
    <w:rsid w:val="00DF74DF"/>
    <w:rsid w:val="00E01D30"/>
    <w:rsid w:val="00E06C01"/>
    <w:rsid w:val="00E076A4"/>
    <w:rsid w:val="00E07FCF"/>
    <w:rsid w:val="00E127E7"/>
    <w:rsid w:val="00E13C1C"/>
    <w:rsid w:val="00E14184"/>
    <w:rsid w:val="00E1463C"/>
    <w:rsid w:val="00E146B7"/>
    <w:rsid w:val="00E17008"/>
    <w:rsid w:val="00E173CE"/>
    <w:rsid w:val="00E17CFC"/>
    <w:rsid w:val="00E229E7"/>
    <w:rsid w:val="00E2505C"/>
    <w:rsid w:val="00E32F9D"/>
    <w:rsid w:val="00E3303D"/>
    <w:rsid w:val="00E33314"/>
    <w:rsid w:val="00E34CAB"/>
    <w:rsid w:val="00E44524"/>
    <w:rsid w:val="00E445CA"/>
    <w:rsid w:val="00E44DF6"/>
    <w:rsid w:val="00E4786F"/>
    <w:rsid w:val="00E50152"/>
    <w:rsid w:val="00E54094"/>
    <w:rsid w:val="00E5570C"/>
    <w:rsid w:val="00E576CD"/>
    <w:rsid w:val="00E628F9"/>
    <w:rsid w:val="00E63DEF"/>
    <w:rsid w:val="00E6532B"/>
    <w:rsid w:val="00E6578C"/>
    <w:rsid w:val="00E708C8"/>
    <w:rsid w:val="00E70FD9"/>
    <w:rsid w:val="00E77F37"/>
    <w:rsid w:val="00E83DC3"/>
    <w:rsid w:val="00E84479"/>
    <w:rsid w:val="00E86D42"/>
    <w:rsid w:val="00E90DBD"/>
    <w:rsid w:val="00E91C94"/>
    <w:rsid w:val="00E92F87"/>
    <w:rsid w:val="00E9715D"/>
    <w:rsid w:val="00EA23FE"/>
    <w:rsid w:val="00EA647B"/>
    <w:rsid w:val="00EA68CB"/>
    <w:rsid w:val="00EB028C"/>
    <w:rsid w:val="00EB21D6"/>
    <w:rsid w:val="00EB6D3C"/>
    <w:rsid w:val="00EB71FC"/>
    <w:rsid w:val="00EC1202"/>
    <w:rsid w:val="00EC2A78"/>
    <w:rsid w:val="00EC3734"/>
    <w:rsid w:val="00EC45C2"/>
    <w:rsid w:val="00ED113C"/>
    <w:rsid w:val="00ED23E7"/>
    <w:rsid w:val="00ED267A"/>
    <w:rsid w:val="00ED48AA"/>
    <w:rsid w:val="00ED5645"/>
    <w:rsid w:val="00ED606D"/>
    <w:rsid w:val="00EE1BF4"/>
    <w:rsid w:val="00EE2154"/>
    <w:rsid w:val="00EE26A1"/>
    <w:rsid w:val="00EE47CF"/>
    <w:rsid w:val="00EE5D84"/>
    <w:rsid w:val="00EE5EA7"/>
    <w:rsid w:val="00EF043B"/>
    <w:rsid w:val="00EF073A"/>
    <w:rsid w:val="00EF097F"/>
    <w:rsid w:val="00EF4B80"/>
    <w:rsid w:val="00F04459"/>
    <w:rsid w:val="00F04CD2"/>
    <w:rsid w:val="00F062AA"/>
    <w:rsid w:val="00F066C6"/>
    <w:rsid w:val="00F06AE3"/>
    <w:rsid w:val="00F07511"/>
    <w:rsid w:val="00F14D38"/>
    <w:rsid w:val="00F218F1"/>
    <w:rsid w:val="00F221FF"/>
    <w:rsid w:val="00F24323"/>
    <w:rsid w:val="00F24E05"/>
    <w:rsid w:val="00F261C3"/>
    <w:rsid w:val="00F26991"/>
    <w:rsid w:val="00F269CE"/>
    <w:rsid w:val="00F26CB4"/>
    <w:rsid w:val="00F30C54"/>
    <w:rsid w:val="00F32D13"/>
    <w:rsid w:val="00F33023"/>
    <w:rsid w:val="00F331CC"/>
    <w:rsid w:val="00F33BAA"/>
    <w:rsid w:val="00F37394"/>
    <w:rsid w:val="00F4026F"/>
    <w:rsid w:val="00F42A64"/>
    <w:rsid w:val="00F47746"/>
    <w:rsid w:val="00F478D1"/>
    <w:rsid w:val="00F47AF4"/>
    <w:rsid w:val="00F502FD"/>
    <w:rsid w:val="00F51F95"/>
    <w:rsid w:val="00F53F8B"/>
    <w:rsid w:val="00F5573B"/>
    <w:rsid w:val="00F566E8"/>
    <w:rsid w:val="00F61A58"/>
    <w:rsid w:val="00F622B5"/>
    <w:rsid w:val="00F62AC8"/>
    <w:rsid w:val="00F7017B"/>
    <w:rsid w:val="00F73623"/>
    <w:rsid w:val="00F75C00"/>
    <w:rsid w:val="00F7708A"/>
    <w:rsid w:val="00F868A8"/>
    <w:rsid w:val="00F87C98"/>
    <w:rsid w:val="00F90BCA"/>
    <w:rsid w:val="00F924FD"/>
    <w:rsid w:val="00F96241"/>
    <w:rsid w:val="00F97C79"/>
    <w:rsid w:val="00FA6F29"/>
    <w:rsid w:val="00FA7E4D"/>
    <w:rsid w:val="00FB1EDD"/>
    <w:rsid w:val="00FB1F61"/>
    <w:rsid w:val="00FB2234"/>
    <w:rsid w:val="00FB6507"/>
    <w:rsid w:val="00FB6B47"/>
    <w:rsid w:val="00FB6EA1"/>
    <w:rsid w:val="00FB73CF"/>
    <w:rsid w:val="00FC0752"/>
    <w:rsid w:val="00FC2DF2"/>
    <w:rsid w:val="00FC4ACD"/>
    <w:rsid w:val="00FC4E28"/>
    <w:rsid w:val="00FD1296"/>
    <w:rsid w:val="00FD2AC3"/>
    <w:rsid w:val="00FD5671"/>
    <w:rsid w:val="00FE4F96"/>
    <w:rsid w:val="046AF11E"/>
    <w:rsid w:val="04F7DFB5"/>
    <w:rsid w:val="059CD23C"/>
    <w:rsid w:val="05B3C011"/>
    <w:rsid w:val="0DCA3DBA"/>
    <w:rsid w:val="132BED5E"/>
    <w:rsid w:val="160FEFD4"/>
    <w:rsid w:val="16555E28"/>
    <w:rsid w:val="1BA99325"/>
    <w:rsid w:val="215CFB50"/>
    <w:rsid w:val="2F5C8BF6"/>
    <w:rsid w:val="305FE41C"/>
    <w:rsid w:val="33473A0C"/>
    <w:rsid w:val="38015D87"/>
    <w:rsid w:val="383DF5AD"/>
    <w:rsid w:val="41269CAB"/>
    <w:rsid w:val="435F1B8A"/>
    <w:rsid w:val="525B73EC"/>
    <w:rsid w:val="53AACA3E"/>
    <w:rsid w:val="59461825"/>
    <w:rsid w:val="5ADA9A1C"/>
    <w:rsid w:val="5CEB3FDD"/>
    <w:rsid w:val="663AF39C"/>
    <w:rsid w:val="68ED959A"/>
    <w:rsid w:val="68EF67E9"/>
    <w:rsid w:val="6A6A7F39"/>
    <w:rsid w:val="75BA3696"/>
    <w:rsid w:val="76398749"/>
    <w:rsid w:val="7864B3FF"/>
    <w:rsid w:val="7878E72B"/>
    <w:rsid w:val="7B68FD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EB3C"/>
  <w15:chartTrackingRefBased/>
  <w15:docId w15:val="{73AB45A3-83CC-4FEE-B44E-624E5DC4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7E"/>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96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52963"/>
  </w:style>
  <w:style w:type="paragraph" w:styleId="Footer">
    <w:name w:val="footer"/>
    <w:basedOn w:val="Normal"/>
    <w:link w:val="FooterChar"/>
    <w:uiPriority w:val="99"/>
    <w:unhideWhenUsed/>
    <w:rsid w:val="00452963"/>
    <w:pPr>
      <w:tabs>
        <w:tab w:val="center" w:pos="4513"/>
        <w:tab w:val="right" w:pos="9026"/>
      </w:tabs>
    </w:pPr>
  </w:style>
  <w:style w:type="character" w:customStyle="1" w:styleId="FooterChar">
    <w:name w:val="Footer Char"/>
    <w:basedOn w:val="DefaultParagraphFont"/>
    <w:link w:val="Footer"/>
    <w:uiPriority w:val="99"/>
    <w:rsid w:val="00452963"/>
  </w:style>
  <w:style w:type="paragraph" w:styleId="BalloonText">
    <w:name w:val="Balloon Text"/>
    <w:basedOn w:val="Normal"/>
    <w:link w:val="BalloonTextChar"/>
    <w:uiPriority w:val="99"/>
    <w:semiHidden/>
    <w:unhideWhenUsed/>
    <w:rsid w:val="008F7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DF4"/>
    <w:rPr>
      <w:rFonts w:ascii="Segoe UI" w:hAnsi="Segoe UI" w:cs="Segoe UI"/>
      <w:sz w:val="18"/>
      <w:szCs w:val="18"/>
    </w:rPr>
  </w:style>
  <w:style w:type="character" w:styleId="Hyperlink">
    <w:name w:val="Hyperlink"/>
    <w:basedOn w:val="DefaultParagraphFont"/>
    <w:uiPriority w:val="99"/>
    <w:semiHidden/>
    <w:unhideWhenUsed/>
    <w:rsid w:val="0067717E"/>
    <w:rPr>
      <w:color w:val="0000FF"/>
      <w:u w:val="single"/>
    </w:rPr>
  </w:style>
  <w:style w:type="paragraph" w:styleId="Title">
    <w:name w:val="Title"/>
    <w:basedOn w:val="Normal"/>
    <w:next w:val="Normal"/>
    <w:link w:val="TitleChar"/>
    <w:uiPriority w:val="10"/>
    <w:qFormat/>
    <w:rsid w:val="00D66F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F7E"/>
    <w:rPr>
      <w:rFonts w:asciiTheme="majorHAnsi" w:eastAsiaTheme="majorEastAsia" w:hAnsiTheme="majorHAnsi" w:cstheme="majorBidi"/>
      <w:spacing w:val="-10"/>
      <w:kern w:val="28"/>
      <w:sz w:val="56"/>
      <w:szCs w:val="56"/>
      <w:lang w:eastAsia="en-GB"/>
    </w:rPr>
  </w:style>
  <w:style w:type="table" w:styleId="TableGrid">
    <w:name w:val="Table Grid"/>
    <w:basedOn w:val="TableNormal"/>
    <w:uiPriority w:val="39"/>
    <w:rsid w:val="0002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1611"/>
    <w:rPr>
      <w:b/>
      <w:bCs/>
    </w:rPr>
  </w:style>
  <w:style w:type="character" w:customStyle="1" w:styleId="CommentSubjectChar">
    <w:name w:val="Comment Subject Char"/>
    <w:basedOn w:val="CommentTextChar"/>
    <w:link w:val="CommentSubject"/>
    <w:uiPriority w:val="99"/>
    <w:semiHidden/>
    <w:rsid w:val="00641611"/>
    <w:rPr>
      <w:rFonts w:ascii="Times New Roman" w:eastAsia="Times New Roman" w:hAnsi="Times New Roman" w:cs="Times New Roman"/>
      <w:b/>
      <w:bCs/>
      <w:sz w:val="20"/>
      <w:szCs w:val="20"/>
      <w:lang w:eastAsia="en-GB"/>
    </w:rPr>
  </w:style>
  <w:style w:type="character" w:styleId="Mention">
    <w:name w:val="Mention"/>
    <w:basedOn w:val="DefaultParagraphFont"/>
    <w:uiPriority w:val="99"/>
    <w:unhideWhenUsed/>
    <w:rsid w:val="00641611"/>
    <w:rPr>
      <w:color w:val="2B579A"/>
      <w:shd w:val="clear" w:color="auto" w:fill="E1DFDD"/>
    </w:rPr>
  </w:style>
  <w:style w:type="paragraph" w:styleId="ListParagraph">
    <w:name w:val="List Paragraph"/>
    <w:basedOn w:val="Normal"/>
    <w:uiPriority w:val="34"/>
    <w:qFormat/>
    <w:rsid w:val="00C81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4305">
      <w:bodyDiv w:val="1"/>
      <w:marLeft w:val="0"/>
      <w:marRight w:val="0"/>
      <w:marTop w:val="0"/>
      <w:marBottom w:val="0"/>
      <w:divBdr>
        <w:top w:val="none" w:sz="0" w:space="0" w:color="auto"/>
        <w:left w:val="none" w:sz="0" w:space="0" w:color="auto"/>
        <w:bottom w:val="none" w:sz="0" w:space="0" w:color="auto"/>
        <w:right w:val="none" w:sz="0" w:space="0" w:color="auto"/>
      </w:divBdr>
    </w:div>
    <w:div w:id="1802264050">
      <w:bodyDiv w:val="1"/>
      <w:marLeft w:val="0"/>
      <w:marRight w:val="0"/>
      <w:marTop w:val="0"/>
      <w:marBottom w:val="0"/>
      <w:divBdr>
        <w:top w:val="none" w:sz="0" w:space="0" w:color="auto"/>
        <w:left w:val="none" w:sz="0" w:space="0" w:color="auto"/>
        <w:bottom w:val="none" w:sz="0" w:space="0" w:color="auto"/>
        <w:right w:val="none" w:sz="0" w:space="0" w:color="auto"/>
      </w:divBdr>
    </w:div>
    <w:div w:id="19829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gould\AppData\Local\Microsoft\Windows\INetCache\IE\FCZK6218\THREE%20SIXTY%20LETTER%20-%20NO%20FIELDS%202020.dotx" TargetMode="External"/></Relationships>
</file>

<file path=word/theme/theme1.xml><?xml version="1.0" encoding="utf-8"?>
<a:theme xmlns:a="http://schemas.openxmlformats.org/drawingml/2006/main" name="Office Theme">
  <a:themeElements>
    <a:clrScheme name="ASPIRE">
      <a:dk1>
        <a:sysClr val="windowText" lastClr="000000"/>
      </a:dk1>
      <a:lt1>
        <a:srgbClr val="FFFFFF"/>
      </a:lt1>
      <a:dk2>
        <a:srgbClr val="CA4142"/>
      </a:dk2>
      <a:lt2>
        <a:srgbClr val="FFFFFF"/>
      </a:lt2>
      <a:accent1>
        <a:srgbClr val="CA4142"/>
      </a:accent1>
      <a:accent2>
        <a:srgbClr val="8FB73E"/>
      </a:accent2>
      <a:accent3>
        <a:srgbClr val="009DBC"/>
      </a:accent3>
      <a:accent4>
        <a:srgbClr val="A4548A"/>
      </a:accent4>
      <a:accent5>
        <a:srgbClr val="FDB933"/>
      </a:accent5>
      <a:accent6>
        <a:srgbClr val="F37021"/>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e7dc0e-e468-46c5-b927-c852f1be5c6b" xsi:nil="true"/>
    <lcf76f155ced4ddcb4097134ff3c332f xmlns="df7dc10a-3468-457b-ac57-01c4d145b58c">
      <Terms xmlns="http://schemas.microsoft.com/office/infopath/2007/PartnerControls"/>
    </lcf76f155ced4ddcb4097134ff3c332f>
    <Comments xmlns="df7dc10a-3468-457b-ac57-01c4d145b58c" xsi:nil="true"/>
    <BenchmarkingPeriod xmlns="df7dc10a-3468-457b-ac57-01c4d145b58c" xsi:nil="true"/>
    <Performance_x0020_Year xmlns="df7dc10a-3468-457b-ac57-01c4d145b58c">2023/24</Performance_x0020_Year>
    <BenchmarkingOrganisation xmlns="df7dc10a-3468-457b-ac57-01c4d145b58c">Housemark</BenchmarkingOrganis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0E00423EDD24418FCDB33F195374B4" ma:contentTypeVersion="34" ma:contentTypeDescription="Create a new document." ma:contentTypeScope="" ma:versionID="c36dc28329b61ce3c8e0ab286a358dda">
  <xsd:schema xmlns:xsd="http://www.w3.org/2001/XMLSchema" xmlns:xs="http://www.w3.org/2001/XMLSchema" xmlns:p="http://schemas.microsoft.com/office/2006/metadata/properties" xmlns:ns2="df7dc10a-3468-457b-ac57-01c4d145b58c" xmlns:ns3="d2c0563f-f423-428e-9b57-5d6037034f24" xmlns:ns4="a6e7dc0e-e468-46c5-b927-c852f1be5c6b" targetNamespace="http://schemas.microsoft.com/office/2006/metadata/properties" ma:root="true" ma:fieldsID="3cadc4f9924688f6af2c9161d24a90c2" ns2:_="" ns3:_="" ns4:_="">
    <xsd:import namespace="df7dc10a-3468-457b-ac57-01c4d145b58c"/>
    <xsd:import namespace="d2c0563f-f423-428e-9b57-5d6037034f24"/>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Comments" minOccurs="0"/>
                <xsd:element ref="ns2:MediaServiceDateTaken" minOccurs="0"/>
                <xsd:element ref="ns2:Performance_x0020_Year" minOccurs="0"/>
                <xsd:element ref="ns2:BenchmarkingOrganisation" minOccurs="0"/>
                <xsd:element ref="ns2:MediaLengthInSeconds" minOccurs="0"/>
                <xsd:element ref="ns2:BenchmarkingPerio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dc10a-3468-457b-ac57-01c4d145b58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mments" ma:index="22" nillable="true" ma:displayName="Comments" ma:internalName="Comments" ma:readOnly="fals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Performance_x0020_Year" ma:index="24" nillable="true" ma:displayName="Performance Year" ma:default="2026/27" ma:format="Dropdown" ma:internalName="Performance_x0020_Year">
      <xsd:simpleType>
        <xsd:restriction base="dms:Choice">
          <xsd:enumeration value="2021/22"/>
          <xsd:enumeration value="2022/23"/>
          <xsd:enumeration value="2023/24"/>
          <xsd:enumeration value="2024/25"/>
          <xsd:enumeration value="2025/26"/>
          <xsd:enumeration value="2026/27"/>
        </xsd:restriction>
      </xsd:simpleType>
    </xsd:element>
    <xsd:element name="BenchmarkingOrganisation" ma:index="25" nillable="true" ma:displayName="Benchmarking Organisation" ma:default="Housemark" ma:format="Dropdown" ma:internalName="BenchmarkingOrganisation">
      <xsd:simpleType>
        <xsd:restriction base="dms:Choice">
          <xsd:enumeration value="Housemark"/>
          <xsd:enumeration value="GMHP"/>
          <xsd:enumeration value="Other"/>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BenchmarkingPeriod" ma:index="27" nillable="true" ma:displayName="Benchmarking Period" ma:format="Dropdown" ma:internalName="BenchmarkingPeriod">
      <xsd:simpleType>
        <xsd:restriction base="dms:Choice">
          <xsd:enumeration value="Q1"/>
          <xsd:enumeration value="Q2"/>
          <xsd:enumeration value="Q3"/>
          <xsd:enumeration value="Q4"/>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enumeration value="Full Year"/>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0563f-f423-428e-9b57-5d6037034f2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7b5469-d7f4-4396-8740-08f6d8359623}" ma:internalName="TaxCatchAll" ma:showField="CatchAllData" ma:web="d2c0563f-f423-428e-9b57-5d6037034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19F88-CA6B-466A-BC09-D3DFCB9469B6}">
  <ds:schemaRefs>
    <ds:schemaRef ds:uri="http://schemas.microsoft.com/office/2006/metadata/properties"/>
    <ds:schemaRef ds:uri="http://schemas.microsoft.com/office/infopath/2007/PartnerControls"/>
    <ds:schemaRef ds:uri="a6e7dc0e-e468-46c5-b927-c852f1be5c6b"/>
    <ds:schemaRef ds:uri="df7dc10a-3468-457b-ac57-01c4d145b58c"/>
  </ds:schemaRefs>
</ds:datastoreItem>
</file>

<file path=customXml/itemProps2.xml><?xml version="1.0" encoding="utf-8"?>
<ds:datastoreItem xmlns:ds="http://schemas.openxmlformats.org/officeDocument/2006/customXml" ds:itemID="{4744A20B-2ECE-4157-8443-BBA9507AE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dc10a-3468-457b-ac57-01c4d145b58c"/>
    <ds:schemaRef ds:uri="d2c0563f-f423-428e-9b57-5d6037034f24"/>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14E1D-289D-4208-BBAD-9805FA029B01}">
  <ds:schemaRefs>
    <ds:schemaRef ds:uri="http://schemas.microsoft.com/sharepoint/v3/contenttype/forms"/>
  </ds:schemaRefs>
</ds:datastoreItem>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THREE SIXTY LETTER - NO FIELDS 2020</Template>
  <TotalTime>390</TotalTime>
  <Pages>5</Pages>
  <Words>1337</Words>
  <Characters>6822</Characters>
  <Application>Microsoft Office Word</Application>
  <DocSecurity>0</DocSecurity>
  <Lines>341</Lines>
  <Paragraphs>233</Paragraphs>
  <ScaleCrop>false</ScaleCrop>
  <Company>Stockport Metropolitan Borough Council</Company>
  <LinksUpToDate>false</LinksUpToDate>
  <CharactersWithSpaces>7926</CharactersWithSpaces>
  <SharedDoc>false</SharedDoc>
  <HLinks>
    <vt:vector size="12" baseType="variant">
      <vt:variant>
        <vt:i4>393316</vt:i4>
      </vt:variant>
      <vt:variant>
        <vt:i4>3</vt:i4>
      </vt:variant>
      <vt:variant>
        <vt:i4>0</vt:i4>
      </vt:variant>
      <vt:variant>
        <vt:i4>5</vt:i4>
      </vt:variant>
      <vt:variant>
        <vt:lpwstr>mailto:alison.leach@stockporthomes.org</vt:lpwstr>
      </vt:variant>
      <vt:variant>
        <vt:lpwstr/>
      </vt:variant>
      <vt:variant>
        <vt:i4>7798811</vt:i4>
      </vt:variant>
      <vt:variant>
        <vt:i4>0</vt:i4>
      </vt:variant>
      <vt:variant>
        <vt:i4>0</vt:i4>
      </vt:variant>
      <vt:variant>
        <vt:i4>5</vt:i4>
      </vt:variant>
      <vt:variant>
        <vt:lpwstr>mailto:dean.betteley@stockporthomes.org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Gould</dc:creator>
  <cp:keywords/>
  <dc:description/>
  <cp:lastModifiedBy>Alison Leach</cp:lastModifiedBy>
  <cp:revision>81</cp:revision>
  <dcterms:created xsi:type="dcterms:W3CDTF">2026-06-24T12:00:00Z</dcterms:created>
  <dcterms:modified xsi:type="dcterms:W3CDTF">2026-06-26T13:53:00Z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0x010100C50E00423EDD24418FCDB33F195374B4</vt:lpwstr>
  </property>
  <property fmtid="{D5CDD505-2E9C-101B-9397-08002B2CF9AE}" pid="3" name="ClassificationLevel">
    <vt:lpwstr/>
  </property>
  <property fmtid="{D5CDD505-2E9C-101B-9397-08002B2CF9AE}" pid="4" name="MediaServiceImageTags">
    <vt:lpwstr/>
  </property>
  <property fmtid="{D5CDD505-2E9C-101B-9397-08002B2CF9AE}" pid="5" name="SHGDirectorate">
    <vt:lpwstr>13;#Resources|ee014490-34fe-4a80-8269-dc3a8079aafc</vt:lpwstr>
  </property>
  <property fmtid="{D5CDD505-2E9C-101B-9397-08002B2CF9AE}" pid="6" name="SHGTeam">
    <vt:lpwstr>17;#Marketing and Communications|5288f8e2-15b5-4d27-b262-4130a0826a70</vt:lpwstr>
  </property>
  <property fmtid="{D5CDD505-2E9C-101B-9397-08002B2CF9AE}" pid="7" name="HuddleDocumentType">
    <vt:lpwstr>23;#Template|bb4839f9-684d-4966-a436-30936228a6da</vt:lpwstr>
  </property>
  <property fmtid="{D5CDD505-2E9C-101B-9397-08002B2CF9AE}" pid="8" name="SHGService">
    <vt:lpwstr>16;#Business Growth and Transformation|87a4d466-bb94-44e5-868a-552b4e65a2fe</vt:lpwstr>
  </property>
  <property fmtid="{D5CDD505-2E9C-101B-9397-08002B2CF9AE}" pid="9" name="i908d72648984f948ced4c6db8335059">
    <vt:lpwstr>Business Growth and Transformation|87a4d466-bb94-44e5-868a-552b4e65a2fe</vt:lpwstr>
  </property>
  <property fmtid="{D5CDD505-2E9C-101B-9397-08002B2CF9AE}" pid="10" name="f7721d9bad6f48958d1be183aee72f1a">
    <vt:lpwstr>Resources|ee014490-34fe-4a80-8269-dc3a8079aafc</vt:lpwstr>
  </property>
  <property fmtid="{D5CDD505-2E9C-101B-9397-08002B2CF9AE}" pid="11" name="g5849776f29449b9b45f6808de7f367b">
    <vt:lpwstr>Marketing and Communications|5288f8e2-15b5-4d27-b262-4130a0826a70</vt:lpwstr>
  </property>
  <property fmtid="{D5CDD505-2E9C-101B-9397-08002B2CF9AE}" pid="12" name="docLang">
    <vt:lpwstr>en</vt:lpwstr>
  </property>
</Properties>
</file>